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723117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34207A">
        <w:tc>
          <w:tcPr>
            <w:tcW w:w="857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64832985" w:rsidR="00C66DB8" w:rsidRPr="007B19C9" w:rsidRDefault="0034207A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34207A">
              <w:rPr>
                <w:sz w:val="20"/>
                <w:szCs w:val="20"/>
              </w:rPr>
              <w:t>116RA</w:t>
            </w:r>
          </w:p>
        </w:tc>
      </w:tr>
      <w:tr w:rsidR="00C66DB8" w14:paraId="1580DF65" w14:textId="7F01BDFA" w:rsidTr="0034207A">
        <w:tc>
          <w:tcPr>
            <w:tcW w:w="857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34207A">
        <w:tc>
          <w:tcPr>
            <w:tcW w:w="857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34207A">
        <w:tc>
          <w:tcPr>
            <w:tcW w:w="2524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4"/>
          </w:tcPr>
          <w:p w14:paraId="6D5EAE10" w14:textId="5A2CEF53" w:rsidR="00C66DB8" w:rsidRPr="007B19C9" w:rsidRDefault="0034207A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34207A">
              <w:rPr>
                <w:sz w:val="20"/>
                <w:szCs w:val="20"/>
              </w:rPr>
              <w:t>Cricut Maker / Machine</w:t>
            </w:r>
          </w:p>
        </w:tc>
      </w:tr>
      <w:tr w:rsidR="00C66DB8" w14:paraId="1FAD83E4" w14:textId="32271938" w:rsidTr="0034207A">
        <w:tc>
          <w:tcPr>
            <w:tcW w:w="857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34207A">
        <w:tc>
          <w:tcPr>
            <w:tcW w:w="1676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34207A" w14:paraId="2BEE8E6A" w14:textId="452BF3CA" w:rsidTr="0034207A">
        <w:tc>
          <w:tcPr>
            <w:tcW w:w="1676" w:type="pct"/>
            <w:gridSpan w:val="4"/>
            <w:shd w:val="clear" w:color="auto" w:fill="auto"/>
            <w:vAlign w:val="center"/>
          </w:tcPr>
          <w:p w14:paraId="2B40773D" w14:textId="1E6553D9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</w:pPr>
            <w:r>
              <w:rPr>
                <w:b/>
                <w:sz w:val="20"/>
                <w:szCs w:val="112"/>
              </w:rPr>
              <w:t>Electrical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14:paraId="304E5C50" w14:textId="77777777" w:rsidR="0034207A" w:rsidRPr="00B75FCA" w:rsidRDefault="0034207A" w:rsidP="00342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Electric shock</w:t>
            </w:r>
          </w:p>
          <w:p w14:paraId="4938308B" w14:textId="77777777" w:rsidR="0034207A" w:rsidRPr="00553B43" w:rsidRDefault="0034207A" w:rsidP="00342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Death</w:t>
            </w:r>
          </w:p>
          <w:p w14:paraId="0BCF0B55" w14:textId="0BAB2947" w:rsidR="0034207A" w:rsidRDefault="0034207A" w:rsidP="0034207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b/>
                <w:sz w:val="20"/>
                <w:szCs w:val="112"/>
              </w:rPr>
              <w:t>Fire</w:t>
            </w:r>
          </w:p>
        </w:tc>
        <w:tc>
          <w:tcPr>
            <w:tcW w:w="1657" w:type="pct"/>
            <w:gridSpan w:val="2"/>
          </w:tcPr>
          <w:p w14:paraId="405B4808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All new items to be fitted with a “new to service tag” as per the electrical procedure</w:t>
            </w:r>
          </w:p>
          <w:p w14:paraId="08E74070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Tested &amp; tagged annually</w:t>
            </w:r>
          </w:p>
          <w:p w14:paraId="2A9FC0E3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Always check cords prior to use. Do not use if cords are damaged, cut, broken, or frayed</w:t>
            </w:r>
          </w:p>
          <w:p w14:paraId="4DB780C8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Only use approved Cricut power adapters</w:t>
            </w:r>
          </w:p>
          <w:p w14:paraId="13D45AF7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Operate only as instructed, do not place fingers or other objects in the machine while connected to an electrical power, or while machine is powered on or during cutting process</w:t>
            </w:r>
          </w:p>
          <w:p w14:paraId="54B27532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To be used indoors only and in dry areas.</w:t>
            </w:r>
          </w:p>
          <w:p w14:paraId="5D46D33B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Always turn machine OFF before unplugging from the electrical outlet. Disconnect electrical power by unplugging the cord before cleaning and servicing</w:t>
            </w:r>
          </w:p>
          <w:p w14:paraId="012276FF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All power-points protected by RCD’s that are checked regularly</w:t>
            </w:r>
          </w:p>
          <w:p w14:paraId="223BD214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Firefighting equipment is available</w:t>
            </w:r>
          </w:p>
          <w:p w14:paraId="6BF72101" w14:textId="77777777" w:rsidR="0034207A" w:rsidRPr="00AA40D7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Trained first aiders are available</w:t>
            </w:r>
          </w:p>
          <w:p w14:paraId="0ED2114E" w14:textId="77777777" w:rsidR="0034207A" w:rsidRDefault="0034207A" w:rsidP="0034207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4207A" w14:paraId="47D86C89" w14:textId="6DFAB91F" w:rsidTr="00B12308">
        <w:tc>
          <w:tcPr>
            <w:tcW w:w="1676" w:type="pct"/>
            <w:gridSpan w:val="4"/>
            <w:shd w:val="clear" w:color="auto" w:fill="auto"/>
            <w:vAlign w:val="center"/>
          </w:tcPr>
          <w:p w14:paraId="2558D6B0" w14:textId="77777777" w:rsidR="0034207A" w:rsidRDefault="0034207A" w:rsidP="0034207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Gravity</w:t>
            </w:r>
          </w:p>
          <w:p w14:paraId="6A6CE942" w14:textId="5C30F035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</w:pPr>
            <w:r>
              <w:rPr>
                <w:bCs/>
                <w:sz w:val="20"/>
                <w:szCs w:val="20"/>
              </w:rPr>
              <w:t>Cords across walkways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14:paraId="6F3D6955" w14:textId="5C7C0C06" w:rsidR="0034207A" w:rsidRDefault="0034207A" w:rsidP="0034207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06B8A">
              <w:rPr>
                <w:bCs/>
                <w:sz w:val="20"/>
                <w:szCs w:val="112"/>
              </w:rPr>
              <w:t>Slips, trips, and falls</w:t>
            </w:r>
          </w:p>
        </w:tc>
        <w:tc>
          <w:tcPr>
            <w:tcW w:w="1657" w:type="pct"/>
            <w:gridSpan w:val="2"/>
            <w:vAlign w:val="center"/>
          </w:tcPr>
          <w:p w14:paraId="21FED259" w14:textId="1DE63C2A" w:rsidR="0034207A" w:rsidRDefault="0034207A" w:rsidP="0034207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06B8A">
              <w:rPr>
                <w:bCs/>
                <w:sz w:val="20"/>
                <w:szCs w:val="112"/>
              </w:rPr>
              <w:t>Cords are to be secured and not crossing any walkways</w:t>
            </w:r>
          </w:p>
        </w:tc>
      </w:tr>
      <w:tr w:rsidR="0034207A" w14:paraId="5140D702" w14:textId="060F0BAD" w:rsidTr="001F79CF">
        <w:tc>
          <w:tcPr>
            <w:tcW w:w="1676" w:type="pct"/>
            <w:gridSpan w:val="4"/>
            <w:shd w:val="clear" w:color="auto" w:fill="auto"/>
            <w:vAlign w:val="center"/>
          </w:tcPr>
          <w:p w14:paraId="48A2EF74" w14:textId="77777777" w:rsidR="0034207A" w:rsidRDefault="0034207A" w:rsidP="0034207A">
            <w:pPr>
              <w:pStyle w:val="BodyText2"/>
              <w:spacing w:before="120" w:after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14:paraId="265EA377" w14:textId="2DC901A5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</w:pPr>
            <w:r w:rsidRPr="00706B8A">
              <w:rPr>
                <w:bCs/>
                <w:sz w:val="20"/>
                <w:szCs w:val="20"/>
              </w:rPr>
              <w:t>Sharp blade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14:paraId="17B1CEC5" w14:textId="1350DBE1" w:rsidR="0034207A" w:rsidRDefault="0034207A" w:rsidP="0034207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06B8A">
              <w:rPr>
                <w:bCs/>
                <w:sz w:val="20"/>
                <w:szCs w:val="112"/>
              </w:rPr>
              <w:t>Serious cuts / lacerations</w:t>
            </w: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200FFE6A" w14:textId="77777777" w:rsidR="0034207A" w:rsidRPr="00706B8A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Only staff to operate the machine</w:t>
            </w:r>
          </w:p>
          <w:p w14:paraId="209FDA6A" w14:textId="77777777" w:rsidR="0034207A" w:rsidRPr="00706B8A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Machine is to only be used for intended crafting purposes</w:t>
            </w:r>
          </w:p>
          <w:p w14:paraId="2F8AC6F0" w14:textId="77777777" w:rsidR="0034207A" w:rsidRPr="00706B8A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 xml:space="preserve">Staff are aware of the procedures in changing the blade. </w:t>
            </w:r>
            <w:r>
              <w:rPr>
                <w:bCs/>
                <w:sz w:val="20"/>
                <w:szCs w:val="112"/>
              </w:rPr>
              <w:t>Staff must follow SOP and not permit students to remove/replace blades.</w:t>
            </w:r>
          </w:p>
          <w:p w14:paraId="79FEA207" w14:textId="77777777" w:rsidR="0034207A" w:rsidRPr="00706B8A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 xml:space="preserve">Blade is stored in the protective housing. </w:t>
            </w:r>
          </w:p>
          <w:p w14:paraId="389AD344" w14:textId="77777777" w:rsidR="0034207A" w:rsidRPr="00706B8A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Prevent blade contact with hands and body</w:t>
            </w:r>
          </w:p>
          <w:p w14:paraId="1B561A6F" w14:textId="26A7A0C3" w:rsidR="0034207A" w:rsidRDefault="0034207A" w:rsidP="0034207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06B8A">
              <w:rPr>
                <w:bCs/>
                <w:sz w:val="20"/>
                <w:szCs w:val="112"/>
              </w:rPr>
              <w:t>Different blades used for different operations</w:t>
            </w:r>
            <w:r>
              <w:rPr>
                <w:bCs/>
                <w:sz w:val="20"/>
                <w:szCs w:val="112"/>
              </w:rPr>
              <w:t xml:space="preserve">. </w:t>
            </w:r>
          </w:p>
        </w:tc>
      </w:tr>
      <w:tr w:rsidR="0034207A" w14:paraId="3469ADDB" w14:textId="476B1255" w:rsidTr="00C90F3C">
        <w:tc>
          <w:tcPr>
            <w:tcW w:w="1676" w:type="pct"/>
            <w:gridSpan w:val="4"/>
            <w:shd w:val="clear" w:color="auto" w:fill="auto"/>
            <w:vAlign w:val="center"/>
          </w:tcPr>
          <w:p w14:paraId="1EB4BEFB" w14:textId="77777777" w:rsidR="0034207A" w:rsidRDefault="0034207A" w:rsidP="0034207A">
            <w:pPr>
              <w:pStyle w:val="BodyText2"/>
              <w:spacing w:before="120" w:after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14:paraId="6045B00A" w14:textId="170F7229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</w:pPr>
            <w:r w:rsidRPr="00960B34">
              <w:rPr>
                <w:bCs/>
                <w:sz w:val="20"/>
                <w:szCs w:val="20"/>
              </w:rPr>
              <w:t>Hit by moving object (</w:t>
            </w:r>
            <w:r w:rsidRPr="00960B34">
              <w:rPr>
                <w:bCs/>
                <w:color w:val="000000"/>
                <w:sz w:val="20"/>
                <w:szCs w:val="20"/>
                <w:shd w:val="clear" w:color="auto" w:fill="F9F9F9"/>
              </w:rPr>
              <w:t>Workpiece can move quickly in and out of the machine, could hit operator</w:t>
            </w:r>
            <w:r>
              <w:rPr>
                <w:bCs/>
                <w:color w:val="000000"/>
                <w:sz w:val="20"/>
                <w:szCs w:val="20"/>
                <w:shd w:val="clear" w:color="auto" w:fill="F9F9F9"/>
              </w:rPr>
              <w:t>)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14:paraId="6C7F67BE" w14:textId="469B539B" w:rsidR="0034207A" w:rsidRDefault="0034207A" w:rsidP="0034207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bCs/>
                <w:sz w:val="20"/>
                <w:szCs w:val="112"/>
              </w:rPr>
              <w:t>Paper cut</w:t>
            </w: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4FE32A70" w14:textId="77777777" w:rsidR="0034207A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>
              <w:rPr>
                <w:bCs/>
                <w:sz w:val="20"/>
                <w:szCs w:val="112"/>
              </w:rPr>
              <w:t>Operators to stand clear when machine is in use</w:t>
            </w:r>
          </w:p>
          <w:p w14:paraId="6EBBC461" w14:textId="58DFEF51" w:rsidR="0034207A" w:rsidRDefault="0034207A" w:rsidP="0034207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bCs/>
                <w:sz w:val="20"/>
                <w:szCs w:val="112"/>
              </w:rPr>
              <w:t>First aid is available</w:t>
            </w:r>
          </w:p>
        </w:tc>
      </w:tr>
      <w:tr w:rsidR="0034207A" w14:paraId="25DA4D53" w14:textId="77777777" w:rsidTr="00C90F3C">
        <w:tc>
          <w:tcPr>
            <w:tcW w:w="1676" w:type="pct"/>
            <w:gridSpan w:val="4"/>
            <w:shd w:val="clear" w:color="auto" w:fill="auto"/>
            <w:vAlign w:val="center"/>
          </w:tcPr>
          <w:p w14:paraId="0CE1C68C" w14:textId="77777777" w:rsidR="0034207A" w:rsidRDefault="0034207A" w:rsidP="0034207A">
            <w:pPr>
              <w:pStyle w:val="BodyText2"/>
              <w:spacing w:before="120" w:after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Tasks</w:t>
            </w:r>
          </w:p>
          <w:p w14:paraId="62E286EB" w14:textId="4C8A9AC3" w:rsidR="0034207A" w:rsidRDefault="0034207A" w:rsidP="0034207A">
            <w:pPr>
              <w:pStyle w:val="BodyText2"/>
              <w:spacing w:before="120" w:after="120"/>
              <w:rPr>
                <w:b/>
                <w:sz w:val="20"/>
                <w:szCs w:val="112"/>
              </w:rPr>
            </w:pPr>
            <w:r>
              <w:rPr>
                <w:bCs/>
                <w:sz w:val="20"/>
                <w:szCs w:val="112"/>
              </w:rPr>
              <w:t>Moving and carrying the Cricut Machine to different locations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14:paraId="275EE221" w14:textId="7C6003A0" w:rsidR="0034207A" w:rsidRDefault="0034207A" w:rsidP="0034207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Sprains, strains</w:t>
            </w: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0A781AB2" w14:textId="77777777" w:rsidR="0034207A" w:rsidRPr="003A6B40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It is recommended to set up in one location to eliminate the need for moving it.</w:t>
            </w:r>
            <w:r>
              <w:rPr>
                <w:bCs/>
                <w:sz w:val="20"/>
                <w:szCs w:val="112"/>
              </w:rPr>
              <w:t xml:space="preserve"> </w:t>
            </w:r>
            <w:r w:rsidRPr="00706B8A">
              <w:rPr>
                <w:bCs/>
                <w:sz w:val="20"/>
                <w:szCs w:val="112"/>
              </w:rPr>
              <w:t>Cricut Machine to be placed on a flat and stable surface. Make sure your workspace has sufficient space in the front and back of the Machine to allow the cutting mat to move through the cutting Machine.</w:t>
            </w:r>
          </w:p>
          <w:p w14:paraId="7E15D005" w14:textId="3CA4E506" w:rsidR="0034207A" w:rsidRDefault="0034207A" w:rsidP="0034207A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 xml:space="preserve">If </w:t>
            </w:r>
            <w:r>
              <w:rPr>
                <w:bCs/>
                <w:sz w:val="20"/>
                <w:szCs w:val="112"/>
              </w:rPr>
              <w:t xml:space="preserve">Cricut Machine </w:t>
            </w:r>
            <w:proofErr w:type="gramStart"/>
            <w:r w:rsidRPr="00706B8A">
              <w:rPr>
                <w:bCs/>
                <w:sz w:val="20"/>
                <w:szCs w:val="112"/>
              </w:rPr>
              <w:t>has to</w:t>
            </w:r>
            <w:proofErr w:type="gramEnd"/>
            <w:r w:rsidRPr="00706B8A">
              <w:rPr>
                <w:bCs/>
                <w:sz w:val="20"/>
                <w:szCs w:val="112"/>
              </w:rPr>
              <w:t xml:space="preserve"> be moved, place in a box and move the box following correct manual handling techniques</w:t>
            </w:r>
          </w:p>
        </w:tc>
      </w:tr>
      <w:tr w:rsidR="0034207A" w14:paraId="3B5AAD2E" w14:textId="4AEDFD37" w:rsidTr="00C66DB8">
        <w:tc>
          <w:tcPr>
            <w:tcW w:w="5000" w:type="pct"/>
            <w:gridSpan w:val="10"/>
          </w:tcPr>
          <w:p w14:paraId="03ADBDE5" w14:textId="77D6482F" w:rsidR="0034207A" w:rsidRPr="007B19C9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34207A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34207A" w:rsidRPr="007B4415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34207A" w14:paraId="6874C08C" w14:textId="38E0C46C" w:rsidTr="0034207A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34207A" w14:paraId="10AAD095" w14:textId="17C6E319" w:rsidTr="0034207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34207A" w:rsidRDefault="0034207A" w:rsidP="0034207A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4207A" w14:paraId="279D017A" w14:textId="3E14ACA4" w:rsidTr="0034207A">
        <w:tc>
          <w:tcPr>
            <w:tcW w:w="1676" w:type="pct"/>
            <w:gridSpan w:val="4"/>
          </w:tcPr>
          <w:p w14:paraId="38B5636F" w14:textId="442FFC56" w:rsidR="0034207A" w:rsidRDefault="0034207A" w:rsidP="0034207A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34207A" w:rsidRDefault="0034207A" w:rsidP="0034207A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A3E6B08" w14:textId="77777777" w:rsidR="0034207A" w:rsidRDefault="0034207A" w:rsidP="0034207A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2E20E5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D8A5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2E20E5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282F"/>
    <w:multiLevelType w:val="hybridMultilevel"/>
    <w:tmpl w:val="C58AF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5"/>
  </w:num>
  <w:num w:numId="3" w16cid:durableId="847332313">
    <w:abstractNumId w:val="3"/>
  </w:num>
  <w:num w:numId="4" w16cid:durableId="1850562679">
    <w:abstractNumId w:val="3"/>
  </w:num>
  <w:num w:numId="5" w16cid:durableId="585457671">
    <w:abstractNumId w:val="3"/>
  </w:num>
  <w:num w:numId="6" w16cid:durableId="508253953">
    <w:abstractNumId w:val="3"/>
  </w:num>
  <w:num w:numId="7" w16cid:durableId="668141638">
    <w:abstractNumId w:val="3"/>
  </w:num>
  <w:num w:numId="8" w16cid:durableId="1181814534">
    <w:abstractNumId w:val="3"/>
  </w:num>
  <w:num w:numId="9" w16cid:durableId="344211743">
    <w:abstractNumId w:val="3"/>
  </w:num>
  <w:num w:numId="10" w16cid:durableId="686255131">
    <w:abstractNumId w:val="0"/>
  </w:num>
  <w:num w:numId="11" w16cid:durableId="1316495436">
    <w:abstractNumId w:val="1"/>
  </w:num>
  <w:num w:numId="12" w16cid:durableId="1581523907">
    <w:abstractNumId w:val="2"/>
  </w:num>
  <w:num w:numId="13" w16cid:durableId="1640108880">
    <w:abstractNumId w:val="4"/>
  </w:num>
  <w:num w:numId="14" w16cid:durableId="152768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2F21E7"/>
    <w:rsid w:val="0034207A"/>
    <w:rsid w:val="003D6393"/>
    <w:rsid w:val="004757D5"/>
    <w:rsid w:val="004864F2"/>
    <w:rsid w:val="004D2096"/>
    <w:rsid w:val="00724D99"/>
    <w:rsid w:val="007B19C9"/>
    <w:rsid w:val="007B4415"/>
    <w:rsid w:val="00973364"/>
    <w:rsid w:val="00A2355A"/>
    <w:rsid w:val="00A461A1"/>
    <w:rsid w:val="00B52555"/>
    <w:rsid w:val="00C66DB8"/>
    <w:rsid w:val="00D23530"/>
    <w:rsid w:val="00D276C1"/>
    <w:rsid w:val="00D8147B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34207A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34207A"/>
    <w:rPr>
      <w:rFonts w:ascii="Arial" w:eastAsia="Times New Roman" w:hAnsi="Arial" w:cs="Arial"/>
      <w:sz w:val="18"/>
      <w:szCs w:val="24"/>
    </w:rPr>
  </w:style>
  <w:style w:type="character" w:styleId="FollowedHyperlink">
    <w:name w:val="FollowedHyperlink"/>
    <w:rsid w:val="003420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Lucas Parfitt</cp:lastModifiedBy>
  <cp:revision>2</cp:revision>
  <dcterms:created xsi:type="dcterms:W3CDTF">2025-04-22T04:27:00Z</dcterms:created>
  <dcterms:modified xsi:type="dcterms:W3CDTF">2025-04-22T04:27:00Z</dcterms:modified>
</cp:coreProperties>
</file>