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0DF95390" w:rsidR="00A461A1" w:rsidRPr="007B19C9" w:rsidRDefault="00DA5784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37CE67A7" w:rsidR="007B19C9" w:rsidRPr="007B19C9" w:rsidRDefault="0069797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97600B" wp14:editId="16631757">
                      <wp:simplePos x="0" y="0"/>
                      <wp:positionH relativeFrom="margin">
                        <wp:posOffset>-4559935</wp:posOffset>
                      </wp:positionH>
                      <wp:positionV relativeFrom="margin">
                        <wp:posOffset>1609725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02133" w14:textId="67DC834E" w:rsidR="00697971" w:rsidRDefault="00697971" w:rsidP="00697971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</w:t>
                                  </w:r>
                                  <w:r w:rsidR="00714802"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76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9.05pt;margin-top:126.7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NtUifHhAAAADAEAAA8AAABkcnMvZG93bnJl&#10;di54bWxMj8FOwzAQRO9I/IO1SNxaJ40a0hCnQkQcemyLOLvxNgnY6xA7TcrXY070uJqnmbfFdjaa&#10;XXBwnSUB8TIChlRb1VEj4P34tsiAOS9JSW0JBVzRwba8vytkruxEe7wcfMNCCblcCmi973POXd2i&#10;kW5pe6SQne1gpA/n0HA1yCmUG81XUZRyIzsKC63s8bXF+uswGgHq53ztk2k67nb7avzWXVXhx6cQ&#10;jw/zyzMwj7P/h+FPP6hDGZxOdiTlmBaweIqzOLACVutkDSwg6WaTAjsJSOIkA14W/PaJ8hc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DbVInx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3602133" w14:textId="67DC834E" w:rsidR="00697971" w:rsidRDefault="00697971" w:rsidP="00697971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714802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579D57F3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3640315D" w:rsidR="007B19C9" w:rsidRPr="007B19C9" w:rsidRDefault="00DA5784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Forklifts</w:t>
            </w:r>
            <w:r w:rsidR="00AF7ED5">
              <w:rPr>
                <w:sz w:val="20"/>
                <w:szCs w:val="20"/>
              </w:rPr>
              <w:t xml:space="preserve"> (electrical and gas)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6BAC0542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0972FCD5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2B41A6F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26250C" w14:paraId="6898FCBA" w14:textId="77777777" w:rsidTr="0026250C">
        <w:tc>
          <w:tcPr>
            <w:tcW w:w="5230" w:type="dxa"/>
            <w:gridSpan w:val="4"/>
          </w:tcPr>
          <w:p w14:paraId="12F68378" w14:textId="77777777" w:rsidR="0026250C" w:rsidRPr="0026250C" w:rsidRDefault="0026250C" w:rsidP="00884784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26250C">
              <w:rPr>
                <w:b/>
                <w:bCs/>
                <w:sz w:val="20"/>
                <w:szCs w:val="20"/>
              </w:rPr>
              <w:t>Operators – not licensed</w:t>
            </w:r>
          </w:p>
          <w:p w14:paraId="161E513D" w14:textId="77777777" w:rsidR="0026250C" w:rsidRPr="00DE5E5A" w:rsidRDefault="0026250C" w:rsidP="00884784">
            <w:pPr>
              <w:pStyle w:val="ListParagraph"/>
              <w:numPr>
                <w:ilvl w:val="0"/>
                <w:numId w:val="18"/>
              </w:num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Operators not operating forklifts currently causing accidents</w:t>
            </w:r>
          </w:p>
        </w:tc>
        <w:tc>
          <w:tcPr>
            <w:tcW w:w="5232" w:type="dxa"/>
            <w:gridSpan w:val="4"/>
          </w:tcPr>
          <w:p w14:paraId="241F3EF2" w14:textId="77777777" w:rsidR="0026250C" w:rsidRPr="00DE5E5A" w:rsidRDefault="0026250C" w:rsidP="0088478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 xml:space="preserve">Cause accidents through not knowing how to use forklift correctly </w:t>
            </w:r>
          </w:p>
          <w:p w14:paraId="5DBE7CB7" w14:textId="77777777" w:rsidR="0026250C" w:rsidRPr="00DE5E5A" w:rsidRDefault="0026250C" w:rsidP="0088478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Death</w:t>
            </w:r>
          </w:p>
          <w:p w14:paraId="6FC35829" w14:textId="77777777" w:rsidR="0026250C" w:rsidRPr="00DE5E5A" w:rsidRDefault="0026250C" w:rsidP="0088478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Serious injury</w:t>
            </w:r>
          </w:p>
        </w:tc>
        <w:tc>
          <w:tcPr>
            <w:tcW w:w="5232" w:type="dxa"/>
            <w:gridSpan w:val="2"/>
          </w:tcPr>
          <w:p w14:paraId="341A1B60" w14:textId="77777777" w:rsidR="0026250C" w:rsidRPr="00BF3FC6" w:rsidRDefault="0026250C" w:rsidP="0088478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 xml:space="preserve">Operators must be 18 years of age or older to hold a licence to perform high risk work. </w:t>
            </w:r>
            <w:hyperlink r:id="rId8" w:history="1">
              <w:r w:rsidRPr="00BF3FC6">
                <w:rPr>
                  <w:rStyle w:val="Hyperlink"/>
                  <w:sz w:val="20"/>
                  <w:szCs w:val="20"/>
                </w:rPr>
                <w:t>HRW classes, training and assessment | SafeWork SA</w:t>
              </w:r>
            </w:hyperlink>
          </w:p>
        </w:tc>
      </w:tr>
      <w:tr w:rsidR="007B19C9" w14:paraId="2BEE8E6A" w14:textId="77777777" w:rsidTr="006C78BF">
        <w:tc>
          <w:tcPr>
            <w:tcW w:w="5230" w:type="dxa"/>
            <w:gridSpan w:val="4"/>
          </w:tcPr>
          <w:p w14:paraId="4F33475B" w14:textId="77777777" w:rsidR="00810FB5" w:rsidRDefault="00810FB5" w:rsidP="00A366E7">
            <w:pPr>
              <w:pStyle w:val="BodyText2"/>
              <w:spacing w:after="0" w:line="24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14:paraId="7CC7C85A" w14:textId="77777777" w:rsidR="00A366E7" w:rsidRDefault="00A366E7" w:rsidP="00A366E7">
            <w:pPr>
              <w:pStyle w:val="BodyText2"/>
              <w:spacing w:after="0" w:line="240" w:lineRule="auto"/>
              <w:rPr>
                <w:sz w:val="20"/>
                <w:szCs w:val="112"/>
              </w:rPr>
            </w:pPr>
          </w:p>
          <w:p w14:paraId="7D45590E" w14:textId="77777777" w:rsidR="00810FB5" w:rsidRDefault="00810FB5" w:rsidP="00810FB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14:paraId="232F7B8B" w14:textId="77777777" w:rsidR="00810FB5" w:rsidRDefault="00810FB5" w:rsidP="00810FB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Leaning out of forklift due to poor visibility</w:t>
            </w:r>
          </w:p>
          <w:p w14:paraId="2B40773D" w14:textId="38229EB6" w:rsidR="007B19C9" w:rsidRPr="00810FB5" w:rsidRDefault="00810FB5" w:rsidP="00810FB5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810FB5">
              <w:rPr>
                <w:sz w:val="20"/>
                <w:szCs w:val="20"/>
              </w:rPr>
              <w:t>Twisting when reversing</w:t>
            </w:r>
          </w:p>
        </w:tc>
        <w:tc>
          <w:tcPr>
            <w:tcW w:w="5232" w:type="dxa"/>
            <w:gridSpan w:val="4"/>
          </w:tcPr>
          <w:p w14:paraId="0BCF0B55" w14:textId="10FC75F4" w:rsidR="007B19C9" w:rsidRDefault="00EE6464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81163C">
              <w:rPr>
                <w:sz w:val="20"/>
                <w:szCs w:val="112"/>
              </w:rPr>
              <w:t>Sprains &amp; strain</w:t>
            </w:r>
          </w:p>
        </w:tc>
        <w:tc>
          <w:tcPr>
            <w:tcW w:w="5232" w:type="dxa"/>
            <w:gridSpan w:val="2"/>
          </w:tcPr>
          <w:p w14:paraId="47A829D1" w14:textId="77777777" w:rsidR="00822CF4" w:rsidRPr="00F64A90" w:rsidRDefault="00822CF4" w:rsidP="00822CF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Task Rotation</w:t>
            </w:r>
          </w:p>
          <w:p w14:paraId="195902E8" w14:textId="77777777" w:rsidR="00822CF4" w:rsidRPr="00F64A90" w:rsidRDefault="00822CF4" w:rsidP="00822CF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Limit height of loads</w:t>
            </w:r>
          </w:p>
          <w:p w14:paraId="0ED2114E" w14:textId="06D138CE" w:rsidR="007B19C9" w:rsidRDefault="00822CF4" w:rsidP="00822CF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112"/>
              </w:rPr>
              <w:t>Alternate looking over left and right shoulders</w:t>
            </w:r>
          </w:p>
        </w:tc>
      </w:tr>
      <w:tr w:rsidR="007B4415" w14:paraId="47D86C89" w14:textId="77777777" w:rsidTr="006C78BF">
        <w:tc>
          <w:tcPr>
            <w:tcW w:w="5230" w:type="dxa"/>
            <w:gridSpan w:val="4"/>
          </w:tcPr>
          <w:p w14:paraId="2B7E84FD" w14:textId="690F9A88" w:rsidR="00B300C4" w:rsidRDefault="00B300C4" w:rsidP="00B300C4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  <w:r w:rsidR="00F32750">
              <w:rPr>
                <w:b/>
                <w:sz w:val="20"/>
                <w:szCs w:val="112"/>
              </w:rPr>
              <w:t xml:space="preserve"> (battery operate forklifts)</w:t>
            </w:r>
          </w:p>
          <w:p w14:paraId="2FC09DFA" w14:textId="77777777" w:rsidR="00B300C4" w:rsidRPr="00151C60" w:rsidRDefault="00B300C4" w:rsidP="0064458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51C60">
              <w:rPr>
                <w:sz w:val="20"/>
                <w:szCs w:val="20"/>
              </w:rPr>
              <w:t>Electric short</w:t>
            </w:r>
          </w:p>
          <w:p w14:paraId="7E2EE2CC" w14:textId="77777777" w:rsidR="00B300C4" w:rsidRPr="00B300C4" w:rsidRDefault="00B300C4" w:rsidP="0064458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Faulty equipment</w:t>
            </w:r>
          </w:p>
          <w:p w14:paraId="3BFF7778" w14:textId="77777777" w:rsidR="007B4415" w:rsidRPr="00644589" w:rsidRDefault="00B300C4" w:rsidP="0064458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300C4">
              <w:rPr>
                <w:sz w:val="20"/>
                <w:szCs w:val="20"/>
              </w:rPr>
              <w:t>Not isolating equipment prior to maintenance</w:t>
            </w:r>
          </w:p>
          <w:p w14:paraId="52971D8B" w14:textId="77777777" w:rsidR="00644589" w:rsidRPr="00F01EEC" w:rsidRDefault="00644589" w:rsidP="00644589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88232A">
              <w:rPr>
                <w:sz w:val="20"/>
                <w:szCs w:val="20"/>
              </w:rPr>
              <w:t>Incorrect charging for batteries</w:t>
            </w:r>
          </w:p>
          <w:p w14:paraId="6A6CE942" w14:textId="099397B0" w:rsidR="00644589" w:rsidRPr="00B300C4" w:rsidRDefault="00644589" w:rsidP="00A366E7">
            <w:pPr>
              <w:pStyle w:val="BodyText2"/>
              <w:spacing w:after="0" w:line="24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4"/>
          </w:tcPr>
          <w:p w14:paraId="2B74044A" w14:textId="77777777" w:rsidR="00714802" w:rsidRPr="00151C60" w:rsidRDefault="00714802" w:rsidP="007148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Electric shock</w:t>
            </w:r>
          </w:p>
          <w:p w14:paraId="1CD5683F" w14:textId="51FD4016" w:rsidR="00714802" w:rsidRPr="00042E62" w:rsidRDefault="00AC5A40" w:rsidP="00A366E7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 xml:space="preserve">Chemical </w:t>
            </w:r>
            <w:r w:rsidR="00714802" w:rsidRPr="00151C60">
              <w:rPr>
                <w:sz w:val="20"/>
                <w:szCs w:val="112"/>
              </w:rPr>
              <w:t>Burn</w:t>
            </w:r>
          </w:p>
          <w:p w14:paraId="69E0D6F2" w14:textId="77777777" w:rsidR="007B4415" w:rsidRPr="000348A2" w:rsidRDefault="00714802" w:rsidP="00A366E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00" w:beforeAutospacing="1" w:after="100" w:afterAutospacing="1" w:line="240" w:lineRule="auto"/>
              <w:ind w:left="714" w:hanging="357"/>
            </w:pPr>
            <w:r>
              <w:rPr>
                <w:sz w:val="20"/>
                <w:szCs w:val="112"/>
              </w:rPr>
              <w:t>Fire</w:t>
            </w:r>
          </w:p>
          <w:p w14:paraId="6F3D6955" w14:textId="37129E41" w:rsidR="000348A2" w:rsidRDefault="000348A2" w:rsidP="00A366E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00" w:beforeAutospacing="1" w:after="100" w:afterAutospacing="1" w:line="240" w:lineRule="auto"/>
              <w:ind w:left="714" w:hanging="357"/>
            </w:pPr>
            <w:r>
              <w:t>explosion</w:t>
            </w:r>
          </w:p>
        </w:tc>
        <w:tc>
          <w:tcPr>
            <w:tcW w:w="5232" w:type="dxa"/>
            <w:gridSpan w:val="2"/>
          </w:tcPr>
          <w:p w14:paraId="1BEB944E" w14:textId="77777777" w:rsidR="00CB766E" w:rsidRPr="00F65D12" w:rsidRDefault="00CB766E" w:rsidP="00CB766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pre-start checklist</w:t>
            </w:r>
          </w:p>
          <w:p w14:paraId="37A53334" w14:textId="77777777" w:rsidR="00CB766E" w:rsidRDefault="00CB766E" w:rsidP="00CB766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Schedule of maintenance</w:t>
            </w:r>
          </w:p>
          <w:p w14:paraId="6A1E9081" w14:textId="77777777" w:rsidR="00BC4301" w:rsidRPr="00BC4301" w:rsidRDefault="00CB766E" w:rsidP="00BC430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Only trained competent persons to conduct maintenance on equipment</w:t>
            </w:r>
          </w:p>
          <w:p w14:paraId="43930826" w14:textId="25347FFB" w:rsidR="007A0F95" w:rsidRPr="00BC4301" w:rsidRDefault="007A0F95" w:rsidP="00BC430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BC4301">
              <w:rPr>
                <w:sz w:val="20"/>
                <w:szCs w:val="112"/>
              </w:rPr>
              <w:t>Battery charging area</w:t>
            </w:r>
          </w:p>
          <w:p w14:paraId="75D5043C" w14:textId="06EA6639" w:rsidR="00FA29D0" w:rsidRPr="00D86351" w:rsidRDefault="00FA29D0" w:rsidP="00BC43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 xml:space="preserve">Remove any </w:t>
            </w:r>
            <w:r w:rsidR="00BC4301">
              <w:rPr>
                <w:sz w:val="20"/>
                <w:szCs w:val="112"/>
              </w:rPr>
              <w:t>jewellery that could conduct electricity and be ware of any other metals int eh area that may increase the risk of explosion</w:t>
            </w:r>
          </w:p>
          <w:p w14:paraId="5793AE6A" w14:textId="3EA402F7" w:rsidR="00D86351" w:rsidRPr="000348A2" w:rsidRDefault="00D86351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lastRenderedPageBreak/>
              <w:t>Lead-acid batteries contain sulphuric acid. Extra precautions to be taken when removing and replacing batteries.</w:t>
            </w:r>
            <w:r w:rsidR="005053CD">
              <w:rPr>
                <w:sz w:val="20"/>
                <w:szCs w:val="112"/>
              </w:rPr>
              <w:t xml:space="preserve">  Use appropriate handling equipment for lifting and moving heavy batteries</w:t>
            </w:r>
          </w:p>
          <w:p w14:paraId="27E200C4" w14:textId="0834BA03" w:rsidR="000348A2" w:rsidRDefault="000348A2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 fumes can be produced during charging, particularly</w:t>
            </w:r>
            <w:r w:rsidR="005053CD">
              <w:rPr>
                <w:sz w:val="20"/>
                <w:szCs w:val="20"/>
              </w:rPr>
              <w:t xml:space="preserve"> under boost and where overcharging occurs.</w:t>
            </w:r>
            <w:r w:rsidR="002D06E8">
              <w:rPr>
                <w:sz w:val="20"/>
                <w:szCs w:val="20"/>
              </w:rPr>
              <w:t xml:space="preserve"> Charge in a well ventilated area</w:t>
            </w:r>
          </w:p>
          <w:p w14:paraId="25B868F4" w14:textId="53E6BC6D" w:rsidR="00141C90" w:rsidRDefault="00141C90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kits available</w:t>
            </w:r>
          </w:p>
          <w:p w14:paraId="4750E1BB" w14:textId="3237EAC2" w:rsidR="00141C90" w:rsidRPr="00F01EEC" w:rsidRDefault="00141C90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shower/eye wash available</w:t>
            </w:r>
          </w:p>
          <w:p w14:paraId="21FED259" w14:textId="2D02373C" w:rsidR="00A224F2" w:rsidRDefault="00A224F2" w:rsidP="00A366E7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957035" w14:paraId="73F509DC" w14:textId="77777777" w:rsidTr="006C78BF">
        <w:tc>
          <w:tcPr>
            <w:tcW w:w="5230" w:type="dxa"/>
            <w:gridSpan w:val="4"/>
          </w:tcPr>
          <w:p w14:paraId="2F57F0AE" w14:textId="0875F679" w:rsidR="00644589" w:rsidRDefault="00644589" w:rsidP="0064458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Chemical</w:t>
            </w:r>
            <w:r>
              <w:rPr>
                <w:b/>
                <w:sz w:val="20"/>
                <w:szCs w:val="112"/>
              </w:rPr>
              <w:t xml:space="preserve"> (gas operated forklifts)</w:t>
            </w:r>
          </w:p>
          <w:p w14:paraId="5BB915A1" w14:textId="77777777" w:rsidR="00644589" w:rsidRPr="0088232A" w:rsidRDefault="00644589" w:rsidP="00644589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88232A">
              <w:rPr>
                <w:sz w:val="20"/>
                <w:szCs w:val="20"/>
              </w:rPr>
              <w:t>Not wearing PPE</w:t>
            </w:r>
          </w:p>
          <w:p w14:paraId="54782824" w14:textId="77777777" w:rsidR="00644589" w:rsidRPr="00644589" w:rsidRDefault="00644589" w:rsidP="00644589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changing of gas cylinder</w:t>
            </w:r>
          </w:p>
          <w:p w14:paraId="04CE23C7" w14:textId="77777777" w:rsidR="00957035" w:rsidRPr="00897228" w:rsidRDefault="00644589" w:rsidP="00644589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44589">
              <w:rPr>
                <w:sz w:val="20"/>
                <w:szCs w:val="20"/>
              </w:rPr>
              <w:t>Gas Cylinder out of date</w:t>
            </w:r>
          </w:p>
          <w:p w14:paraId="01C0024C" w14:textId="61513474" w:rsidR="00897228" w:rsidRPr="00897228" w:rsidRDefault="00897228" w:rsidP="00644589">
            <w:pPr>
              <w:pStyle w:val="BodyText2"/>
              <w:numPr>
                <w:ilvl w:val="0"/>
                <w:numId w:val="2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897228">
              <w:rPr>
                <w:bCs/>
                <w:sz w:val="20"/>
                <w:szCs w:val="20"/>
              </w:rPr>
              <w:t>Refuelling</w:t>
            </w:r>
          </w:p>
        </w:tc>
        <w:tc>
          <w:tcPr>
            <w:tcW w:w="5232" w:type="dxa"/>
            <w:gridSpan w:val="4"/>
          </w:tcPr>
          <w:p w14:paraId="42DF9C2F" w14:textId="77777777" w:rsidR="00957035" w:rsidRDefault="00644589" w:rsidP="007148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  <w:p w14:paraId="30033C20" w14:textId="77777777" w:rsidR="00644589" w:rsidRDefault="00644589" w:rsidP="007148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Explosion</w:t>
            </w:r>
          </w:p>
          <w:p w14:paraId="3E24C4F2" w14:textId="4F5728AF" w:rsidR="00644589" w:rsidRPr="00151C60" w:rsidRDefault="00644589" w:rsidP="007148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Overcome by fumes (asphyxiation in enclosed spaces)</w:t>
            </w:r>
          </w:p>
        </w:tc>
        <w:tc>
          <w:tcPr>
            <w:tcW w:w="5232" w:type="dxa"/>
            <w:gridSpan w:val="2"/>
          </w:tcPr>
          <w:p w14:paraId="63083D96" w14:textId="77777777" w:rsidR="007A0F95" w:rsidRPr="0088232A" w:rsidRDefault="007A0F95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Work Instruction</w:t>
            </w:r>
          </w:p>
          <w:p w14:paraId="4E2FA052" w14:textId="2F171F15" w:rsidR="007A0F95" w:rsidRPr="0088232A" w:rsidRDefault="007A0F95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8232A">
              <w:rPr>
                <w:sz w:val="20"/>
                <w:szCs w:val="112"/>
              </w:rPr>
              <w:t>PPE – rubber gloves, full length clothing, safety glasses</w:t>
            </w:r>
          </w:p>
          <w:p w14:paraId="1E83E08E" w14:textId="77777777" w:rsidR="007A0F95" w:rsidRPr="0088232A" w:rsidRDefault="007A0F95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cylinders changed by a competent person</w:t>
            </w:r>
          </w:p>
          <w:p w14:paraId="444A64F4" w14:textId="77777777" w:rsidR="007A0F95" w:rsidRPr="009B4966" w:rsidRDefault="007A0F95" w:rsidP="007A0F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cylinders stored upright and chained</w:t>
            </w:r>
          </w:p>
          <w:p w14:paraId="2A9C6C05" w14:textId="77777777" w:rsidR="00957035" w:rsidRPr="00386D2A" w:rsidRDefault="007A0F95" w:rsidP="007A0F9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Gas cylinder less than 10 years old</w:t>
            </w:r>
          </w:p>
          <w:p w14:paraId="0A33175C" w14:textId="77777777" w:rsidR="00386D2A" w:rsidRDefault="00386D2A" w:rsidP="007A0F9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 to operated in a well ventilated area</w:t>
            </w:r>
          </w:p>
          <w:p w14:paraId="61158C4A" w14:textId="77777777" w:rsidR="00A60B8E" w:rsidRDefault="00A60B8E" w:rsidP="007A0F9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Engine is turned off before </w:t>
            </w:r>
            <w:r w:rsidR="001602FC">
              <w:rPr>
                <w:sz w:val="20"/>
                <w:szCs w:val="20"/>
              </w:rPr>
              <w:t>changing LPG tanks</w:t>
            </w:r>
          </w:p>
          <w:p w14:paraId="23A45F9F" w14:textId="68AA7832" w:rsidR="001602FC" w:rsidRDefault="001602FC" w:rsidP="007A0F9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smoking, open flames, sparks or other ignition sources to be in area</w:t>
            </w:r>
          </w:p>
        </w:tc>
      </w:tr>
      <w:tr w:rsidR="007B4415" w14:paraId="3469ADDB" w14:textId="77777777" w:rsidTr="006C78BF">
        <w:tc>
          <w:tcPr>
            <w:tcW w:w="5230" w:type="dxa"/>
            <w:gridSpan w:val="4"/>
          </w:tcPr>
          <w:p w14:paraId="27FAF579" w14:textId="77777777" w:rsidR="007B4415" w:rsidRDefault="004C0F44" w:rsidP="004C0F44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4C0F44">
              <w:rPr>
                <w:b/>
                <w:bCs/>
              </w:rPr>
              <w:t>Machinery &amp; Equipment</w:t>
            </w:r>
            <w:r>
              <w:rPr>
                <w:b/>
                <w:bCs/>
              </w:rPr>
              <w:t xml:space="preserve"> </w:t>
            </w:r>
            <w:r w:rsidR="0000659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06598">
              <w:rPr>
                <w:b/>
                <w:bCs/>
              </w:rPr>
              <w:t>forklift instability and overturning</w:t>
            </w:r>
          </w:p>
          <w:p w14:paraId="3428CDEC" w14:textId="77777777" w:rsidR="00006598" w:rsidRPr="00DE5E5A" w:rsidRDefault="00006598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Roll sideways, tip forwards or tip backwards</w:t>
            </w:r>
            <w:r w:rsidR="005D5B86" w:rsidRPr="00DE5E5A">
              <w:rPr>
                <w:sz w:val="20"/>
                <w:szCs w:val="20"/>
              </w:rPr>
              <w:t>.</w:t>
            </w:r>
          </w:p>
          <w:p w14:paraId="2D000635" w14:textId="77777777" w:rsidR="005D5B86" w:rsidRPr="00DE5E5A" w:rsidRDefault="005D5B86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Occur on uneven surfaces, up or down slopes or ramps or on a gradient</w:t>
            </w:r>
          </w:p>
          <w:p w14:paraId="1E4918BD" w14:textId="77777777" w:rsidR="00DE4616" w:rsidRPr="00DE5E5A" w:rsidRDefault="00DE4616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Titled load</w:t>
            </w:r>
          </w:p>
          <w:p w14:paraId="1F9A5927" w14:textId="77777777" w:rsidR="00DE4616" w:rsidRPr="00DE5E5A" w:rsidRDefault="00DE4616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With an unstable load such as liquid loads, loads suspended from chains or slings from a jib attachment</w:t>
            </w:r>
            <w:r w:rsidR="00265081" w:rsidRPr="00DE5E5A">
              <w:rPr>
                <w:sz w:val="20"/>
                <w:szCs w:val="20"/>
              </w:rPr>
              <w:t>, where the load can swing, fall or move</w:t>
            </w:r>
          </w:p>
          <w:p w14:paraId="7BC85526" w14:textId="77777777" w:rsidR="00265081" w:rsidRPr="00DE5E5A" w:rsidRDefault="00265081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lastRenderedPageBreak/>
              <w:t>Load exceeds the safe working load limit capacity</w:t>
            </w:r>
            <w:r w:rsidR="003F362E" w:rsidRPr="00DE5E5A">
              <w:rPr>
                <w:sz w:val="20"/>
                <w:szCs w:val="20"/>
              </w:rPr>
              <w:t xml:space="preserve"> of the forklift and attachments</w:t>
            </w:r>
          </w:p>
          <w:p w14:paraId="6045B00A" w14:textId="64575D42" w:rsidR="003F362E" w:rsidRPr="003F362E" w:rsidRDefault="003F362E" w:rsidP="00006598">
            <w:pPr>
              <w:pStyle w:val="ListParagraph"/>
              <w:numPr>
                <w:ilvl w:val="0"/>
                <w:numId w:val="17"/>
              </w:numPr>
              <w:tabs>
                <w:tab w:val="left" w:pos="5580"/>
              </w:tabs>
              <w:spacing w:before="120" w:after="120" w:line="240" w:lineRule="auto"/>
            </w:pPr>
            <w:r w:rsidRPr="00DE5E5A">
              <w:rPr>
                <w:sz w:val="20"/>
                <w:szCs w:val="20"/>
              </w:rPr>
              <w:t>Carrying wide or long loads</w:t>
            </w:r>
          </w:p>
        </w:tc>
        <w:tc>
          <w:tcPr>
            <w:tcW w:w="5232" w:type="dxa"/>
            <w:gridSpan w:val="4"/>
          </w:tcPr>
          <w:p w14:paraId="7D6EBC18" w14:textId="77777777" w:rsidR="00BF7C6B" w:rsidRPr="00E743F0" w:rsidRDefault="00BF7C6B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743F0">
              <w:rPr>
                <w:sz w:val="20"/>
                <w:szCs w:val="112"/>
              </w:rPr>
              <w:lastRenderedPageBreak/>
              <w:t>Serious Injury</w:t>
            </w:r>
          </w:p>
          <w:p w14:paraId="6C7F67BE" w14:textId="1C32D6D6" w:rsidR="007B4415" w:rsidRDefault="00BF7C6B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E743F0">
              <w:rPr>
                <w:sz w:val="20"/>
                <w:szCs w:val="112"/>
              </w:rPr>
              <w:t>Death</w:t>
            </w:r>
          </w:p>
        </w:tc>
        <w:tc>
          <w:tcPr>
            <w:tcW w:w="5232" w:type="dxa"/>
            <w:gridSpan w:val="2"/>
          </w:tcPr>
          <w:p w14:paraId="26DA2941" w14:textId="77777777" w:rsidR="007B4415" w:rsidRPr="00DE5E5A" w:rsidRDefault="00CE0459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Operators seat is designed to prevent the operator from being ejected.</w:t>
            </w:r>
          </w:p>
          <w:p w14:paraId="24B2E289" w14:textId="3B1388DC" w:rsidR="00CE0459" w:rsidRPr="00DE5E5A" w:rsidRDefault="00B0042F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Restrain</w:t>
            </w:r>
            <w:r w:rsidR="00EF3A88">
              <w:rPr>
                <w:sz w:val="20"/>
                <w:szCs w:val="20"/>
              </w:rPr>
              <w:t>t</w:t>
            </w:r>
            <w:r w:rsidRPr="00DE5E5A">
              <w:rPr>
                <w:sz w:val="20"/>
                <w:szCs w:val="20"/>
              </w:rPr>
              <w:t>s such as s</w:t>
            </w:r>
            <w:r w:rsidR="00CE0459" w:rsidRPr="00DE5E5A">
              <w:rPr>
                <w:sz w:val="20"/>
                <w:szCs w:val="20"/>
              </w:rPr>
              <w:t>eat belt warn at all times (where fitted)</w:t>
            </w:r>
            <w:r w:rsidRPr="00DE5E5A">
              <w:rPr>
                <w:sz w:val="20"/>
                <w:szCs w:val="20"/>
              </w:rPr>
              <w:t>. Are maintained.</w:t>
            </w:r>
          </w:p>
          <w:p w14:paraId="43A68476" w14:textId="77777777" w:rsidR="00B0042F" w:rsidRPr="00DE5E5A" w:rsidRDefault="00B0042F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Protective devices are fitted or maintained to prevent the operator from being ejected.</w:t>
            </w:r>
          </w:p>
          <w:p w14:paraId="061CC2D9" w14:textId="77777777" w:rsidR="00B0042F" w:rsidRDefault="001C56D2" w:rsidP="00C522A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C56D2">
              <w:rPr>
                <w:sz w:val="20"/>
                <w:szCs w:val="20"/>
              </w:rPr>
              <w:t>Adhere to SWL capacity of forklift</w:t>
            </w:r>
          </w:p>
          <w:p w14:paraId="5F8E8C7F" w14:textId="008A2341" w:rsidR="00CC4226" w:rsidRPr="001C56D2" w:rsidRDefault="00CC4226" w:rsidP="00C522A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tines are at the correct height (e.g. low to the ground with back tilts when travelling with the load)</w:t>
            </w:r>
          </w:p>
          <w:p w14:paraId="6EBBC461" w14:textId="314795CC" w:rsidR="001C56D2" w:rsidRPr="001C56D2" w:rsidRDefault="001C56D2" w:rsidP="00C522A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C56D2">
              <w:rPr>
                <w:sz w:val="20"/>
                <w:szCs w:val="20"/>
              </w:rPr>
              <w:t>Preventative maintenance plan in place</w:t>
            </w:r>
          </w:p>
        </w:tc>
      </w:tr>
      <w:tr w:rsidR="00717B83" w14:paraId="3D9D7899" w14:textId="77777777" w:rsidTr="006C78BF">
        <w:tc>
          <w:tcPr>
            <w:tcW w:w="5230" w:type="dxa"/>
            <w:gridSpan w:val="4"/>
          </w:tcPr>
          <w:p w14:paraId="16E2D2A1" w14:textId="2135BDA3" w:rsidR="00717B83" w:rsidRPr="00717B83" w:rsidRDefault="00717B83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717B83">
              <w:rPr>
                <w:b/>
                <w:bCs/>
              </w:rPr>
              <w:t>Traffic Management</w:t>
            </w:r>
            <w:r w:rsidR="009D6885">
              <w:rPr>
                <w:b/>
                <w:bCs/>
              </w:rPr>
              <w:t xml:space="preserve"> – collision with pedestrians</w:t>
            </w:r>
          </w:p>
          <w:p w14:paraId="1F664127" w14:textId="77777777" w:rsidR="00717B83" w:rsidRPr="00DE5E5A" w:rsidRDefault="00717B83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Pedestrians hit by moving vehicles</w:t>
            </w:r>
          </w:p>
          <w:p w14:paraId="677857C7" w14:textId="77777777" w:rsidR="004C5453" w:rsidRPr="00DE5E5A" w:rsidRDefault="004C5453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No physical barriers</w:t>
            </w:r>
          </w:p>
          <w:p w14:paraId="1E650B39" w14:textId="77777777" w:rsidR="004C5453" w:rsidRPr="00DE5E5A" w:rsidRDefault="004C5453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Blind spots</w:t>
            </w:r>
          </w:p>
          <w:p w14:paraId="32BA238C" w14:textId="77777777" w:rsidR="004C5453" w:rsidRPr="00DE5E5A" w:rsidRDefault="004C5453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Corners with limited visibility</w:t>
            </w:r>
          </w:p>
          <w:p w14:paraId="4A3C6264" w14:textId="12FEA48E" w:rsidR="00F409FF" w:rsidRPr="00DE5E5A" w:rsidRDefault="00F409FF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Speeding</w:t>
            </w:r>
          </w:p>
          <w:p w14:paraId="7FB4DA09" w14:textId="770A9168" w:rsidR="00F409FF" w:rsidRDefault="00F409FF" w:rsidP="00717B8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</w:pPr>
            <w:r w:rsidRPr="00DE5E5A">
              <w:rPr>
                <w:sz w:val="20"/>
                <w:szCs w:val="20"/>
              </w:rPr>
              <w:t>Forklifts operating in areas with low lighting</w:t>
            </w:r>
          </w:p>
        </w:tc>
        <w:tc>
          <w:tcPr>
            <w:tcW w:w="5232" w:type="dxa"/>
            <w:gridSpan w:val="4"/>
          </w:tcPr>
          <w:p w14:paraId="7A0FF402" w14:textId="77777777" w:rsidR="00717B83" w:rsidRPr="00E743F0" w:rsidRDefault="00E24D98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743F0">
              <w:rPr>
                <w:sz w:val="20"/>
                <w:szCs w:val="112"/>
              </w:rPr>
              <w:t>Serious Injury</w:t>
            </w:r>
          </w:p>
          <w:p w14:paraId="581D8135" w14:textId="2FD4096E" w:rsidR="00E24D98" w:rsidRDefault="00E24D98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E743F0">
              <w:rPr>
                <w:sz w:val="20"/>
                <w:szCs w:val="112"/>
              </w:rPr>
              <w:t>Death</w:t>
            </w:r>
          </w:p>
        </w:tc>
        <w:tc>
          <w:tcPr>
            <w:tcW w:w="5232" w:type="dxa"/>
            <w:gridSpan w:val="2"/>
          </w:tcPr>
          <w:p w14:paraId="04469ED2" w14:textId="77777777" w:rsidR="009C656E" w:rsidRPr="00DE5E5A" w:rsidRDefault="009C656E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Traffic management risk assessment completed</w:t>
            </w:r>
          </w:p>
          <w:p w14:paraId="1B149A76" w14:textId="77777777" w:rsidR="0083360C" w:rsidRPr="00DE5E5A" w:rsidRDefault="009C656E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Traffic management plan developed and implemented</w:t>
            </w:r>
          </w:p>
          <w:p w14:paraId="65913A86" w14:textId="77777777" w:rsidR="003F4C25" w:rsidRPr="00DE5E5A" w:rsidRDefault="003F4C25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Segregated pedestrian walkways (where practicable, physical barriers installed)</w:t>
            </w:r>
          </w:p>
          <w:p w14:paraId="5E5731CA" w14:textId="77777777" w:rsidR="00C566E3" w:rsidRPr="00DE5E5A" w:rsidRDefault="00C566E3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Pedestrian or forklift exclusion zones</w:t>
            </w:r>
          </w:p>
          <w:p w14:paraId="1D73C326" w14:textId="77777777" w:rsidR="00C566E3" w:rsidRPr="00DE5E5A" w:rsidRDefault="00C566E3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Fork speed limits implemented</w:t>
            </w:r>
          </w:p>
          <w:p w14:paraId="7EF2A47E" w14:textId="2E022F2F" w:rsidR="0022423A" w:rsidRDefault="001C4FB8" w:rsidP="009C65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DE5E5A">
              <w:rPr>
                <w:sz w:val="20"/>
                <w:szCs w:val="20"/>
              </w:rPr>
              <w:t>Pre- and post</w:t>
            </w:r>
            <w:r w:rsidR="00783D4C" w:rsidRPr="00DE5E5A">
              <w:rPr>
                <w:sz w:val="20"/>
                <w:szCs w:val="20"/>
              </w:rPr>
              <w:t>-</w:t>
            </w:r>
            <w:r w:rsidRPr="00DE5E5A">
              <w:rPr>
                <w:sz w:val="20"/>
                <w:szCs w:val="20"/>
              </w:rPr>
              <w:t>operation</w:t>
            </w:r>
            <w:r w:rsidR="00783D4C" w:rsidRPr="00DE5E5A">
              <w:rPr>
                <w:sz w:val="20"/>
                <w:szCs w:val="20"/>
              </w:rPr>
              <w:t>s</w:t>
            </w:r>
            <w:r w:rsidRPr="00DE5E5A">
              <w:rPr>
                <w:sz w:val="20"/>
                <w:szCs w:val="20"/>
              </w:rPr>
              <w:t xml:space="preserve"> checking of forklifts and the workplace</w:t>
            </w:r>
            <w:r w:rsidR="00A4127A" w:rsidRPr="00DE5E5A">
              <w:rPr>
                <w:sz w:val="20"/>
                <w:szCs w:val="20"/>
              </w:rPr>
              <w:t xml:space="preserve"> (</w:t>
            </w:r>
            <w:r w:rsidRPr="00DE5E5A">
              <w:rPr>
                <w:sz w:val="20"/>
                <w:szCs w:val="20"/>
              </w:rPr>
              <w:t>using attachments, carrying loads</w:t>
            </w:r>
            <w:r w:rsidR="00A4127A" w:rsidRPr="00DE5E5A">
              <w:rPr>
                <w:sz w:val="20"/>
                <w:szCs w:val="20"/>
              </w:rPr>
              <w:t>)</w:t>
            </w:r>
            <w:r w:rsidRPr="00DE5E5A">
              <w:rPr>
                <w:sz w:val="20"/>
                <w:szCs w:val="20"/>
              </w:rPr>
              <w:t>.</w:t>
            </w:r>
          </w:p>
        </w:tc>
      </w:tr>
      <w:tr w:rsidR="009D6885" w14:paraId="46577F33" w14:textId="77777777" w:rsidTr="006C78BF">
        <w:tc>
          <w:tcPr>
            <w:tcW w:w="5230" w:type="dxa"/>
            <w:gridSpan w:val="4"/>
          </w:tcPr>
          <w:p w14:paraId="340644C1" w14:textId="77777777" w:rsidR="009D6885" w:rsidRDefault="009D6885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Traffic Management – collision with</w:t>
            </w:r>
            <w:r w:rsidR="004C0F44">
              <w:rPr>
                <w:b/>
                <w:bCs/>
              </w:rPr>
              <w:t xml:space="preserve"> other powered mobile plant (e.g. cars)</w:t>
            </w:r>
          </w:p>
          <w:p w14:paraId="6F8874DB" w14:textId="5149D50F" w:rsidR="00A25B08" w:rsidRPr="00DE5E5A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hit by moving vehicles</w:t>
            </w:r>
          </w:p>
          <w:p w14:paraId="60F7E01B" w14:textId="77777777" w:rsidR="00A25B08" w:rsidRPr="00DE5E5A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No physical barriers</w:t>
            </w:r>
          </w:p>
          <w:p w14:paraId="205D510A" w14:textId="77777777" w:rsidR="00A25B08" w:rsidRPr="00DE5E5A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Blind spots</w:t>
            </w:r>
          </w:p>
          <w:p w14:paraId="36FAAF52" w14:textId="77777777" w:rsidR="00A25B08" w:rsidRPr="00DE5E5A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Corners with limited visibility</w:t>
            </w:r>
          </w:p>
          <w:p w14:paraId="21D2D563" w14:textId="77777777" w:rsidR="00C018EA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Speeding</w:t>
            </w:r>
          </w:p>
          <w:p w14:paraId="2FA2B028" w14:textId="77777777" w:rsidR="00A25B08" w:rsidRDefault="00A25B08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C018EA">
              <w:rPr>
                <w:sz w:val="20"/>
                <w:szCs w:val="20"/>
              </w:rPr>
              <w:t>Forklifts operating in areas with low lighting</w:t>
            </w:r>
          </w:p>
          <w:p w14:paraId="5DE54933" w14:textId="43BCB983" w:rsidR="00C018EA" w:rsidRPr="00C018EA" w:rsidRDefault="00C018EA" w:rsidP="00A25B08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vehicle segregation (safe unloading zones)</w:t>
            </w:r>
          </w:p>
        </w:tc>
        <w:tc>
          <w:tcPr>
            <w:tcW w:w="5232" w:type="dxa"/>
            <w:gridSpan w:val="4"/>
          </w:tcPr>
          <w:p w14:paraId="05E38D4D" w14:textId="77777777" w:rsidR="00BF7C6B" w:rsidRPr="00E743F0" w:rsidRDefault="00BF7C6B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743F0">
              <w:rPr>
                <w:sz w:val="20"/>
                <w:szCs w:val="112"/>
              </w:rPr>
              <w:t>Serious Injury</w:t>
            </w:r>
          </w:p>
          <w:p w14:paraId="40361008" w14:textId="05B07F12" w:rsidR="009D6885" w:rsidRDefault="00BF7C6B" w:rsidP="00E743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E743F0">
              <w:rPr>
                <w:sz w:val="20"/>
                <w:szCs w:val="112"/>
              </w:rPr>
              <w:t>Death</w:t>
            </w:r>
          </w:p>
        </w:tc>
        <w:tc>
          <w:tcPr>
            <w:tcW w:w="5232" w:type="dxa"/>
            <w:gridSpan w:val="2"/>
          </w:tcPr>
          <w:p w14:paraId="55AF372B" w14:textId="77777777" w:rsidR="008A5899" w:rsidRPr="00BF3FC6" w:rsidRDefault="008A5899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Traffic management risk assessment completed</w:t>
            </w:r>
          </w:p>
          <w:p w14:paraId="553C82F6" w14:textId="77777777" w:rsidR="009D6885" w:rsidRPr="00BF3FC6" w:rsidRDefault="008A5899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Traffic management plan developed and implemented</w:t>
            </w:r>
          </w:p>
          <w:p w14:paraId="0D790B6F" w14:textId="77777777" w:rsidR="008A5899" w:rsidRPr="00BF3FC6" w:rsidRDefault="008A5899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Segregated pedestrian walkways (where practicable, physical barriers installed)</w:t>
            </w:r>
          </w:p>
          <w:p w14:paraId="77B862A9" w14:textId="77777777" w:rsidR="008A5899" w:rsidRPr="00BF3FC6" w:rsidRDefault="008A5899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Pedestrian or forklift exclusion zones</w:t>
            </w:r>
          </w:p>
          <w:p w14:paraId="11816CBF" w14:textId="77777777" w:rsidR="008A5899" w:rsidRPr="00BF3FC6" w:rsidRDefault="008A5899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Fork speed limits implemented</w:t>
            </w:r>
          </w:p>
          <w:p w14:paraId="5E8A5C98" w14:textId="775AC90B" w:rsidR="00E82CFE" w:rsidRPr="00BF3FC6" w:rsidRDefault="00E82CFE" w:rsidP="00E82CFE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  <w:p w14:paraId="364C72E1" w14:textId="77777777" w:rsidR="00132CCC" w:rsidRPr="00BF3FC6" w:rsidRDefault="00132CCC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Floor and road markings</w:t>
            </w:r>
          </w:p>
          <w:p w14:paraId="66FC0C3A" w14:textId="77777777" w:rsidR="00132CCC" w:rsidRPr="00BF3FC6" w:rsidRDefault="0077213D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Blind spot mirrors, eg convex mirrors</w:t>
            </w:r>
          </w:p>
          <w:p w14:paraId="5F4AF18F" w14:textId="77777777" w:rsidR="0077213D" w:rsidRPr="00BF3FC6" w:rsidRDefault="0077213D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Signs displayed throughout.</w:t>
            </w:r>
          </w:p>
          <w:p w14:paraId="7511C8F6" w14:textId="710914D3" w:rsidR="00E82CFE" w:rsidRPr="00BF3FC6" w:rsidRDefault="00E82CFE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Where forklifts go on public roads, must be registered</w:t>
            </w:r>
            <w:r w:rsidR="00654D37" w:rsidRPr="00BF3FC6">
              <w:rPr>
                <w:sz w:val="20"/>
                <w:szCs w:val="20"/>
              </w:rPr>
              <w:t xml:space="preserve">. Go to </w:t>
            </w:r>
            <w:hyperlink r:id="rId9" w:history="1">
              <w:r w:rsidR="00654D37" w:rsidRPr="00BF3FC6">
                <w:rPr>
                  <w:rStyle w:val="Hyperlink"/>
                  <w:sz w:val="20"/>
                  <w:szCs w:val="20"/>
                </w:rPr>
                <w:t>SA.GOV.AU - Special purpose vehicle registration</w:t>
              </w:r>
            </w:hyperlink>
          </w:p>
        </w:tc>
      </w:tr>
      <w:tr w:rsidR="00B1237E" w14:paraId="3303BDF9" w14:textId="77777777" w:rsidTr="006C78BF">
        <w:tc>
          <w:tcPr>
            <w:tcW w:w="5230" w:type="dxa"/>
            <w:gridSpan w:val="4"/>
          </w:tcPr>
          <w:p w14:paraId="11CBFD11" w14:textId="77777777" w:rsidR="00A25B08" w:rsidRDefault="00A25B08" w:rsidP="00A25B0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14:paraId="59B83816" w14:textId="77777777" w:rsidR="00A25B08" w:rsidRPr="000975E2" w:rsidRDefault="00A25B08" w:rsidP="00A25B08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Slip trip fall getting on and off forklift</w:t>
            </w:r>
          </w:p>
          <w:p w14:paraId="37AE78E4" w14:textId="77777777" w:rsidR="00A25B08" w:rsidRPr="00A25B08" w:rsidRDefault="00A25B08" w:rsidP="00A25B08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or unexpected movement of plant</w:t>
            </w:r>
          </w:p>
          <w:p w14:paraId="0BFE927C" w14:textId="634A626A" w:rsidR="00B1237E" w:rsidRPr="00A25B08" w:rsidRDefault="00A25B08" w:rsidP="00A25B08">
            <w:pPr>
              <w:pStyle w:val="BodyText2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25B08">
              <w:rPr>
                <w:sz w:val="20"/>
                <w:szCs w:val="20"/>
              </w:rPr>
              <w:t>Pedestrian moving between load / structure or forklift</w:t>
            </w:r>
          </w:p>
        </w:tc>
        <w:tc>
          <w:tcPr>
            <w:tcW w:w="5232" w:type="dxa"/>
            <w:gridSpan w:val="4"/>
          </w:tcPr>
          <w:p w14:paraId="760C4999" w14:textId="77777777" w:rsidR="0053455E" w:rsidRPr="00042E62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lastRenderedPageBreak/>
              <w:t>Slip Trip Falls</w:t>
            </w:r>
          </w:p>
          <w:p w14:paraId="50707B1A" w14:textId="77777777" w:rsidR="0053455E" w:rsidRPr="00042E62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Sprain / Strain</w:t>
            </w:r>
          </w:p>
          <w:p w14:paraId="062F6C7D" w14:textId="77777777" w:rsidR="0053455E" w:rsidRPr="00042E62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lastRenderedPageBreak/>
              <w:t>Bruising</w:t>
            </w:r>
          </w:p>
          <w:p w14:paraId="6461BB4B" w14:textId="77777777" w:rsidR="0053455E" w:rsidRPr="00042E62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Laceration</w:t>
            </w:r>
          </w:p>
          <w:p w14:paraId="145B1BD1" w14:textId="77777777" w:rsidR="0053455E" w:rsidRPr="0010608C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2E62">
              <w:rPr>
                <w:sz w:val="20"/>
                <w:szCs w:val="112"/>
              </w:rPr>
              <w:t>Fracture</w:t>
            </w:r>
          </w:p>
          <w:p w14:paraId="40464902" w14:textId="0646E62A" w:rsidR="00B1237E" w:rsidRPr="00E743F0" w:rsidRDefault="0053455E" w:rsidP="005345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Crush</w:t>
            </w:r>
          </w:p>
        </w:tc>
        <w:tc>
          <w:tcPr>
            <w:tcW w:w="5232" w:type="dxa"/>
            <w:gridSpan w:val="2"/>
          </w:tcPr>
          <w:p w14:paraId="65E9EE81" w14:textId="77777777" w:rsidR="00B52971" w:rsidRPr="0010608C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lastRenderedPageBreak/>
              <w:t>Licenced trained operators</w:t>
            </w:r>
          </w:p>
          <w:p w14:paraId="5A6FCB24" w14:textId="6740BDB5" w:rsidR="00B52971" w:rsidRPr="00F64A90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lastRenderedPageBreak/>
              <w:t>Three points of contact</w:t>
            </w:r>
            <w:r w:rsidRPr="00B22B17">
              <w:rPr>
                <w:sz w:val="20"/>
                <w:szCs w:val="20"/>
              </w:rPr>
              <w:t xml:space="preserve"> when getting on / off forklift</w:t>
            </w:r>
          </w:p>
          <w:p w14:paraId="0DD0FCB9" w14:textId="77777777" w:rsidR="00B52971" w:rsidRPr="0010608C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Seatbelts</w:t>
            </w:r>
          </w:p>
          <w:p w14:paraId="257BF41D" w14:textId="77777777" w:rsidR="00B52971" w:rsidRPr="0010608C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High visibility clothing worn in area</w:t>
            </w:r>
          </w:p>
          <w:p w14:paraId="1F50CB23" w14:textId="77777777" w:rsidR="00B52971" w:rsidRPr="0010608C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Speed restrictions</w:t>
            </w:r>
          </w:p>
          <w:p w14:paraId="798DC5F1" w14:textId="77777777" w:rsidR="00B52971" w:rsidRPr="00F64A90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Safe working loads</w:t>
            </w:r>
          </w:p>
          <w:p w14:paraId="4EEFB2A6" w14:textId="77777777" w:rsidR="00B52971" w:rsidRPr="0010608C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Restricted access area</w:t>
            </w:r>
          </w:p>
          <w:p w14:paraId="7A57B5DD" w14:textId="77777777" w:rsidR="00B22B17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on flat surfaces</w:t>
            </w:r>
          </w:p>
          <w:p w14:paraId="636BA0C6" w14:textId="0636AB56" w:rsidR="00B1237E" w:rsidRPr="00B22B17" w:rsidRDefault="00B52971" w:rsidP="00B22B17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22B17">
              <w:rPr>
                <w:sz w:val="20"/>
                <w:szCs w:val="20"/>
              </w:rPr>
              <w:t>Forklift signage</w:t>
            </w:r>
          </w:p>
        </w:tc>
      </w:tr>
      <w:tr w:rsidR="00FF06DF" w14:paraId="6AE1EE06" w14:textId="77777777" w:rsidTr="006C78BF">
        <w:tc>
          <w:tcPr>
            <w:tcW w:w="5230" w:type="dxa"/>
            <w:gridSpan w:val="4"/>
          </w:tcPr>
          <w:p w14:paraId="2BC838B7" w14:textId="77777777" w:rsidR="00537D15" w:rsidRDefault="00537D15" w:rsidP="00537D1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Extreme Weather</w:t>
            </w:r>
          </w:p>
          <w:p w14:paraId="3B349D0C" w14:textId="77777777" w:rsidR="00537D15" w:rsidRPr="00F918E0" w:rsidRDefault="00537D15" w:rsidP="00537D15">
            <w:pPr>
              <w:pStyle w:val="BodyText2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Stopping times are increased</w:t>
            </w:r>
          </w:p>
          <w:p w14:paraId="6C79A3A8" w14:textId="77777777" w:rsidR="00537D15" w:rsidRPr="00537D15" w:rsidRDefault="00537D15" w:rsidP="00537D15">
            <w:pPr>
              <w:pStyle w:val="BodyText2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Workers exposed to wet environments</w:t>
            </w:r>
          </w:p>
          <w:p w14:paraId="000F1E8B" w14:textId="2C74B635" w:rsidR="00537D15" w:rsidRPr="00537D15" w:rsidRDefault="00537D15" w:rsidP="00537D15">
            <w:pPr>
              <w:pStyle w:val="BodyText2"/>
              <w:numPr>
                <w:ilvl w:val="0"/>
                <w:numId w:val="19"/>
              </w:numPr>
              <w:spacing w:after="0" w:line="240" w:lineRule="auto"/>
              <w:rPr>
                <w:bCs/>
                <w:sz w:val="20"/>
                <w:szCs w:val="112"/>
              </w:rPr>
            </w:pPr>
            <w:r w:rsidRPr="00537D15">
              <w:rPr>
                <w:bCs/>
                <w:sz w:val="20"/>
                <w:szCs w:val="112"/>
              </w:rPr>
              <w:t>Working in extreme heat</w:t>
            </w:r>
          </w:p>
          <w:p w14:paraId="0FB8B143" w14:textId="6A2BC241" w:rsidR="00FF06DF" w:rsidRDefault="00FF06DF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5232" w:type="dxa"/>
            <w:gridSpan w:val="4"/>
          </w:tcPr>
          <w:p w14:paraId="46F9730A" w14:textId="77777777" w:rsidR="00FF06DF" w:rsidRPr="00DE5E5A" w:rsidRDefault="00537D15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Vehicle collisions</w:t>
            </w:r>
          </w:p>
          <w:p w14:paraId="4629C576" w14:textId="77777777" w:rsidR="00537D15" w:rsidRPr="00DE5E5A" w:rsidRDefault="00537D15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Operator becomes unwell from wet weather exposure</w:t>
            </w:r>
          </w:p>
          <w:p w14:paraId="5CD394B2" w14:textId="14AA2777" w:rsidR="00537D15" w:rsidRPr="00DE5E5A" w:rsidRDefault="00537D15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Heat exhaustion</w:t>
            </w:r>
          </w:p>
          <w:p w14:paraId="3B751B3A" w14:textId="0CF74804" w:rsidR="00537D15" w:rsidRPr="00DE5E5A" w:rsidRDefault="00537D15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DE5E5A">
              <w:rPr>
                <w:sz w:val="20"/>
                <w:szCs w:val="20"/>
              </w:rPr>
              <w:t>Heat strain / stoke</w:t>
            </w:r>
          </w:p>
        </w:tc>
        <w:tc>
          <w:tcPr>
            <w:tcW w:w="5232" w:type="dxa"/>
            <w:gridSpan w:val="2"/>
          </w:tcPr>
          <w:p w14:paraId="560E527F" w14:textId="77777777" w:rsidR="00BF3FC6" w:rsidRPr="00BF3FC6" w:rsidRDefault="00BF3FC6" w:rsidP="00BF3FC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Operators to reduce speed in wet weather</w:t>
            </w:r>
          </w:p>
          <w:p w14:paraId="2CC9F349" w14:textId="77777777" w:rsidR="00FF06DF" w:rsidRPr="00BF3FC6" w:rsidRDefault="00BF3FC6" w:rsidP="00BF3FC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Ensure forklifts are equipped with rain protection</w:t>
            </w:r>
          </w:p>
          <w:p w14:paraId="0A231F6E" w14:textId="77777777" w:rsidR="00BF3FC6" w:rsidRPr="00BF3FC6" w:rsidRDefault="00BF3FC6" w:rsidP="00BF3FC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BF3FC6">
              <w:rPr>
                <w:sz w:val="20"/>
                <w:szCs w:val="20"/>
              </w:rPr>
              <w:t>Drink plenty of fluids throughout the shift</w:t>
            </w:r>
          </w:p>
          <w:p w14:paraId="16A24947" w14:textId="770EDC54" w:rsidR="00BF3FC6" w:rsidRDefault="00BF3FC6" w:rsidP="00BF3FC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112"/>
              </w:rPr>
              <w:t>Take regular breaks in extreme heat</w:t>
            </w:r>
          </w:p>
        </w:tc>
      </w:tr>
      <w:tr w:rsidR="000E7633" w14:paraId="3A416A56" w14:textId="77777777" w:rsidTr="006C78BF">
        <w:tc>
          <w:tcPr>
            <w:tcW w:w="5230" w:type="dxa"/>
            <w:gridSpan w:val="4"/>
          </w:tcPr>
          <w:p w14:paraId="00387630" w14:textId="77777777" w:rsidR="000E7633" w:rsidRDefault="000E7633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  <w:p w14:paraId="49ABE894" w14:textId="77777777" w:rsidR="000E7633" w:rsidRDefault="000E7633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</w:p>
          <w:p w14:paraId="35BB5022" w14:textId="571CDCEB" w:rsidR="000E7633" w:rsidRDefault="000E7633" w:rsidP="00717B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5232" w:type="dxa"/>
            <w:gridSpan w:val="4"/>
          </w:tcPr>
          <w:p w14:paraId="6DFDF06E" w14:textId="77777777" w:rsidR="000E7633" w:rsidRDefault="000E7633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722A54BD" w14:textId="77777777" w:rsidR="000E7633" w:rsidRDefault="000E7633" w:rsidP="008A589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Further information can be found at</w:t>
            </w:r>
          </w:p>
          <w:p w14:paraId="41FDA220" w14:textId="45523162" w:rsidR="000E7633" w:rsidRDefault="000E7633" w:rsidP="000E7633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  <w:hyperlink r:id="rId10" w:history="1">
              <w:r>
                <w:rPr>
                  <w:rStyle w:val="Hyperlink"/>
                </w:rPr>
                <w:t>A guide to forklift safety</w:t>
              </w:r>
            </w:hyperlink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34E2022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27A5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-23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C217D"/>
    <w:multiLevelType w:val="hybridMultilevel"/>
    <w:tmpl w:val="DEA88F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459A3"/>
    <w:multiLevelType w:val="hybridMultilevel"/>
    <w:tmpl w:val="1F821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8C29DD"/>
    <w:multiLevelType w:val="hybridMultilevel"/>
    <w:tmpl w:val="730CE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7CC5478"/>
    <w:multiLevelType w:val="hybridMultilevel"/>
    <w:tmpl w:val="83CA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B145B"/>
    <w:multiLevelType w:val="hybridMultilevel"/>
    <w:tmpl w:val="456E2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07F47"/>
    <w:multiLevelType w:val="hybridMultilevel"/>
    <w:tmpl w:val="1E225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843FB"/>
    <w:multiLevelType w:val="hybridMultilevel"/>
    <w:tmpl w:val="44EEE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0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1"/>
  </w:num>
  <w:num w:numId="11" w16cid:durableId="1316495436">
    <w:abstractNumId w:val="3"/>
  </w:num>
  <w:num w:numId="12" w16cid:durableId="686367239">
    <w:abstractNumId w:val="4"/>
  </w:num>
  <w:num w:numId="13" w16cid:durableId="1688017254">
    <w:abstractNumId w:val="8"/>
  </w:num>
  <w:num w:numId="14" w16cid:durableId="904993918">
    <w:abstractNumId w:val="0"/>
  </w:num>
  <w:num w:numId="15" w16cid:durableId="1866862505">
    <w:abstractNumId w:val="2"/>
  </w:num>
  <w:num w:numId="16" w16cid:durableId="147215623">
    <w:abstractNumId w:val="6"/>
  </w:num>
  <w:num w:numId="17" w16cid:durableId="1736271674">
    <w:abstractNumId w:val="9"/>
  </w:num>
  <w:num w:numId="18" w16cid:durableId="2040931745">
    <w:abstractNumId w:val="5"/>
  </w:num>
  <w:num w:numId="19" w16cid:durableId="1839927589">
    <w:abstractNumId w:val="12"/>
  </w:num>
  <w:num w:numId="20" w16cid:durableId="1255943952">
    <w:abstractNumId w:val="15"/>
  </w:num>
  <w:num w:numId="21" w16cid:durableId="1695643782">
    <w:abstractNumId w:val="13"/>
  </w:num>
  <w:num w:numId="22" w16cid:durableId="1747923076">
    <w:abstractNumId w:val="11"/>
  </w:num>
  <w:num w:numId="23" w16cid:durableId="1638997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06598"/>
    <w:rsid w:val="0001180A"/>
    <w:rsid w:val="000348A2"/>
    <w:rsid w:val="000354EE"/>
    <w:rsid w:val="00044035"/>
    <w:rsid w:val="000E7633"/>
    <w:rsid w:val="00125566"/>
    <w:rsid w:val="00132CCC"/>
    <w:rsid w:val="00141C90"/>
    <w:rsid w:val="001602FC"/>
    <w:rsid w:val="001C4FB8"/>
    <w:rsid w:val="001C56D2"/>
    <w:rsid w:val="0022423A"/>
    <w:rsid w:val="0026250C"/>
    <w:rsid w:val="00265081"/>
    <w:rsid w:val="002D06E8"/>
    <w:rsid w:val="002F21E7"/>
    <w:rsid w:val="00386D2A"/>
    <w:rsid w:val="003D6393"/>
    <w:rsid w:val="003F362E"/>
    <w:rsid w:val="003F4C25"/>
    <w:rsid w:val="004757D5"/>
    <w:rsid w:val="004864F2"/>
    <w:rsid w:val="004C0F44"/>
    <w:rsid w:val="004C5453"/>
    <w:rsid w:val="005053CD"/>
    <w:rsid w:val="0053455E"/>
    <w:rsid w:val="00537D15"/>
    <w:rsid w:val="005A6454"/>
    <w:rsid w:val="005D5B86"/>
    <w:rsid w:val="00644589"/>
    <w:rsid w:val="00654D37"/>
    <w:rsid w:val="00697971"/>
    <w:rsid w:val="00714802"/>
    <w:rsid w:val="00717B83"/>
    <w:rsid w:val="00724D99"/>
    <w:rsid w:val="0077213D"/>
    <w:rsid w:val="00783D4C"/>
    <w:rsid w:val="007A0F95"/>
    <w:rsid w:val="007B19C9"/>
    <w:rsid w:val="007B4415"/>
    <w:rsid w:val="00810FB5"/>
    <w:rsid w:val="00822CF4"/>
    <w:rsid w:val="0083360C"/>
    <w:rsid w:val="00897228"/>
    <w:rsid w:val="008A5899"/>
    <w:rsid w:val="00957035"/>
    <w:rsid w:val="00973364"/>
    <w:rsid w:val="009C656E"/>
    <w:rsid w:val="009D6885"/>
    <w:rsid w:val="009F2271"/>
    <w:rsid w:val="00A224F2"/>
    <w:rsid w:val="00A2355A"/>
    <w:rsid w:val="00A25B08"/>
    <w:rsid w:val="00A366E7"/>
    <w:rsid w:val="00A4127A"/>
    <w:rsid w:val="00A461A1"/>
    <w:rsid w:val="00A60B8E"/>
    <w:rsid w:val="00A96A1A"/>
    <w:rsid w:val="00AB15CB"/>
    <w:rsid w:val="00AC5A40"/>
    <w:rsid w:val="00AF7ED5"/>
    <w:rsid w:val="00B0042F"/>
    <w:rsid w:val="00B1237E"/>
    <w:rsid w:val="00B22B17"/>
    <w:rsid w:val="00B300C4"/>
    <w:rsid w:val="00B52555"/>
    <w:rsid w:val="00B52971"/>
    <w:rsid w:val="00BC4301"/>
    <w:rsid w:val="00BF3FC6"/>
    <w:rsid w:val="00BF7C6B"/>
    <w:rsid w:val="00C018EA"/>
    <w:rsid w:val="00C522A9"/>
    <w:rsid w:val="00C566E3"/>
    <w:rsid w:val="00CB766E"/>
    <w:rsid w:val="00CC4226"/>
    <w:rsid w:val="00CE0459"/>
    <w:rsid w:val="00D23530"/>
    <w:rsid w:val="00D276C1"/>
    <w:rsid w:val="00D8147B"/>
    <w:rsid w:val="00D86351"/>
    <w:rsid w:val="00DA5784"/>
    <w:rsid w:val="00DE4616"/>
    <w:rsid w:val="00DE5E5A"/>
    <w:rsid w:val="00E24D98"/>
    <w:rsid w:val="00E66CF0"/>
    <w:rsid w:val="00E743F0"/>
    <w:rsid w:val="00E82CFE"/>
    <w:rsid w:val="00E909E6"/>
    <w:rsid w:val="00EE6464"/>
    <w:rsid w:val="00EF3A88"/>
    <w:rsid w:val="00F06D8A"/>
    <w:rsid w:val="00F32750"/>
    <w:rsid w:val="00F37896"/>
    <w:rsid w:val="00F37D93"/>
    <w:rsid w:val="00F409FF"/>
    <w:rsid w:val="00FA1AB2"/>
    <w:rsid w:val="00FA29D0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810F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0FB5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810FB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B766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9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work.sa.gov.au/licence-and-registration/apply-renew/high-risk-work-licences/hrw-class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afework.sa.gov.au/__data/assets/pdf_file/0018/144513/A-guide-to-forklift-safe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.gov.au/topics/driving-and-transport/registration/conditional-registration/special-purpose-vehicl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72</cp:revision>
  <dcterms:created xsi:type="dcterms:W3CDTF">2025-03-03T00:55:00Z</dcterms:created>
  <dcterms:modified xsi:type="dcterms:W3CDTF">2025-03-03T03:24:00Z</dcterms:modified>
</cp:coreProperties>
</file>