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521CCF15" w:rsidR="00EC45F6" w:rsidRPr="00EC45F6" w:rsidRDefault="009A1882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Laser Cutter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11695ADF" w:rsidR="00EC45F6" w:rsidRPr="00EC45F6" w:rsidRDefault="009A1882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4AE3C4C" w:rsidR="00EC45F6" w:rsidRPr="00EC45F6" w:rsidRDefault="009A1882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057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8C50EC4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950EEC">
              <w:rPr>
                <w:rFonts w:ascii="Noto Serif Armenian Light" w:hAnsi="Noto Serif Armenian Light" w:cs="Arial"/>
                <w:b/>
              </w:rPr>
              <w:t>RISKS:</w:t>
            </w:r>
            <w:r w:rsidR="009A1882" w:rsidRPr="00950EEC">
              <w:rPr>
                <w:rFonts w:ascii="Noto Serif Armenian Light" w:hAnsi="Noto Serif Armenian Light" w:cs="Arial"/>
                <w:b/>
              </w:rPr>
              <w:t xml:space="preserve"> </w:t>
            </w:r>
            <w:r w:rsidR="00950EEC" w:rsidRPr="00950EEC">
              <w:rPr>
                <w:sz w:val="24"/>
                <w:szCs w:val="24"/>
              </w:rPr>
              <w:t xml:space="preserve"> </w:t>
            </w:r>
            <w:r w:rsidR="00950EEC" w:rsidRPr="00950EEC">
              <w:rPr>
                <w:rFonts w:ascii="Noto Serif Armenian Light" w:hAnsi="Noto Serif Armenian Light" w:cs="Arial"/>
                <w:b/>
              </w:rPr>
              <w:t>Fire, Electricity, Hazardous Chemicals, Radiation, Extreme Temperatures and Mechanical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470930BD" w:rsidR="00EC45F6" w:rsidRPr="00EC45F6" w:rsidRDefault="00D622B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8F789A">
              <w:rPr>
                <w:noProof/>
              </w:rPr>
              <w:drawing>
                <wp:inline distT="0" distB="0" distL="0" distR="0" wp14:anchorId="28A2A19B" wp14:editId="7D8088B3">
                  <wp:extent cx="752475" cy="1019175"/>
                  <wp:effectExtent l="0" t="0" r="9525" b="9525"/>
                  <wp:docPr id="818019853" name="Picture 3" descr="man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146C5B09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731F577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646789D3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0E821D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7663AB37" w:rsidR="00EC45F6" w:rsidRPr="00EC45F6" w:rsidRDefault="006F7C3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6F7C31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8AC5B02" wp14:editId="5A4A85C6">
                  <wp:extent cx="1496750" cy="1391920"/>
                  <wp:effectExtent l="0" t="0" r="8255" b="0"/>
                  <wp:docPr id="1326817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17864" name=""/>
                          <pic:cNvPicPr/>
                        </pic:nvPicPr>
                        <pic:blipFill rotWithShape="1">
                          <a:blip r:embed="rId9"/>
                          <a:srcRect l="9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750" cy="1391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4EC48D66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Check all software and machine settings carefully before commencing any cutting operation.</w:t>
            </w:r>
          </w:p>
          <w:p w14:paraId="65715526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Check operating lenses are clean.</w:t>
            </w:r>
          </w:p>
          <w:p w14:paraId="47DC7D81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Check nozzle has no build-up of material on it.</w:t>
            </w:r>
          </w:p>
          <w:p w14:paraId="70C78A83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Load and position the material on the table.</w:t>
            </w:r>
          </w:p>
          <w:p w14:paraId="3219BCD3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Ensure the access door is closed before starting the laser cutter.</w:t>
            </w:r>
          </w:p>
          <w:p w14:paraId="206DC099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Ensure air assist has commenced automatically when machine is switched on.</w:t>
            </w:r>
          </w:p>
          <w:p w14:paraId="2D826E2C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Some materials may produce toxic fumes. Check Safety Data Sheet (SDS) prior to use.</w:t>
            </w:r>
          </w:p>
          <w:p w14:paraId="7FC9577C" w14:textId="77777777" w:rsidR="004C0E22" w:rsidRPr="004C0E22" w:rsidRDefault="004C0E22" w:rsidP="004C0E2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Ensure power cords are positioned to avoid creating a trip hazard.</w:t>
            </w:r>
          </w:p>
          <w:p w14:paraId="6F1533AD" w14:textId="3FD5834A" w:rsidR="00EC45F6" w:rsidRPr="00F32543" w:rsidRDefault="004C0E22" w:rsidP="00F32543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C0E22">
              <w:rPr>
                <w:rFonts w:ascii="Noto Serif Armenian Light" w:eastAsia="Arial" w:hAnsi="Noto Serif Armenian Light"/>
              </w:rPr>
              <w:t>Faulty equipment must not be used. Immediately report suspect machinery to Tech Studies Coordinator.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76A21FFB" w14:textId="77777777" w:rsidR="00D91CAB" w:rsidRPr="00D91CAB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5772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D91CAB">
              <w:rPr>
                <w:rFonts w:ascii="Noto Serif Armenian Light" w:eastAsia="Arial" w:hAnsi="Noto Serif Armenian Light"/>
              </w:rPr>
              <w:t xml:space="preserve"> place any reflective metals into the laser cabinet as the beam may be reflected out and cause injury.</w:t>
            </w:r>
          </w:p>
          <w:p w14:paraId="44B1D872" w14:textId="77777777" w:rsidR="00D91CAB" w:rsidRPr="00B05772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  <w:b/>
                <w:bCs/>
              </w:rPr>
            </w:pPr>
            <w:r w:rsidRPr="00B05772">
              <w:rPr>
                <w:rFonts w:ascii="Noto Serif Armenian Light" w:eastAsia="Arial" w:hAnsi="Noto Serif Armenian Light"/>
                <w:b/>
                <w:bCs/>
              </w:rPr>
              <w:t>DO NOT LEAVE THE MACHINE UNATTENDED WHEN IN USE</w:t>
            </w:r>
          </w:p>
          <w:p w14:paraId="75C9556B" w14:textId="77777777" w:rsidR="00D91CAB" w:rsidRPr="00D91CAB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91CAB">
              <w:rPr>
                <w:rFonts w:ascii="Noto Serif Armenian Light" w:eastAsia="Arial" w:hAnsi="Noto Serif Armenian Light"/>
              </w:rPr>
              <w:t>A CO2 fire extinguisher is available adjacent the machine.</w:t>
            </w:r>
          </w:p>
          <w:p w14:paraId="47DED911" w14:textId="77777777" w:rsidR="00D91CAB" w:rsidRPr="00D91CAB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91CAB">
              <w:rPr>
                <w:rFonts w:ascii="Noto Serif Armenian Light" w:eastAsia="Arial" w:hAnsi="Noto Serif Armenian Light"/>
              </w:rPr>
              <w:t>Check that fumes / smoke is being extracted through the filter system when machine is operating.</w:t>
            </w:r>
          </w:p>
          <w:p w14:paraId="4B3A29EE" w14:textId="77777777" w:rsidR="00D91CAB" w:rsidRPr="00D91CAB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91CAB">
              <w:rPr>
                <w:rFonts w:ascii="Noto Serif Armenian Light" w:eastAsia="Arial" w:hAnsi="Noto Serif Armenian Light"/>
              </w:rPr>
              <w:t xml:space="preserve">Only permissible material is to be cut. If unsure if a material is suitable for laser cutting – </w:t>
            </w:r>
            <w:r w:rsidRPr="00B05772">
              <w:rPr>
                <w:rFonts w:ascii="Noto Serif Armenian Light" w:eastAsia="Arial" w:hAnsi="Noto Serif Armenian Light"/>
                <w:b/>
                <w:bCs/>
              </w:rPr>
              <w:t>DO NOT PROCEED</w:t>
            </w:r>
            <w:r w:rsidRPr="00D91CAB">
              <w:rPr>
                <w:rFonts w:ascii="Noto Serif Armenian Light" w:eastAsia="Arial" w:hAnsi="Noto Serif Armenian Light"/>
              </w:rPr>
              <w:t>, refer to operating manual.</w:t>
            </w:r>
          </w:p>
          <w:p w14:paraId="1167779D" w14:textId="77777777" w:rsidR="00D91CAB" w:rsidRPr="00D91CAB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5772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D91CAB">
              <w:rPr>
                <w:rFonts w:ascii="Noto Serif Armenian Light" w:eastAsia="Arial" w:hAnsi="Noto Serif Armenian Light"/>
              </w:rPr>
              <w:t xml:space="preserve"> operate the machine if any safety features have been modified, disabled or removed.</w:t>
            </w:r>
          </w:p>
          <w:p w14:paraId="496487F1" w14:textId="77777777" w:rsidR="00D91CAB" w:rsidRPr="00D91CAB" w:rsidRDefault="00D91CAB" w:rsidP="00D91CA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5772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D91CAB">
              <w:rPr>
                <w:rFonts w:ascii="Noto Serif Armenian Light" w:eastAsia="Arial" w:hAnsi="Noto Serif Armenian Light"/>
              </w:rPr>
              <w:t xml:space="preserve"> open the lid until the fan and light have ceased operating.</w:t>
            </w:r>
          </w:p>
          <w:p w14:paraId="5AF738CB" w14:textId="3C91DC40" w:rsidR="00EC45F6" w:rsidRPr="00F32543" w:rsidRDefault="00D91CAB" w:rsidP="00F3254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5772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D91CAB">
              <w:rPr>
                <w:rFonts w:ascii="Noto Serif Armenian Light" w:eastAsia="Arial" w:hAnsi="Noto Serif Armenian Light"/>
              </w:rPr>
              <w:t xml:space="preserve"> store tools or parts on the machine.</w:t>
            </w:r>
          </w:p>
        </w:tc>
      </w:tr>
      <w:tr w:rsidR="00EC45F6" w:rsidRPr="00EC45F6" w14:paraId="01D48D7B" w14:textId="77777777" w:rsidTr="006F7C31">
        <w:trPr>
          <w:cantSplit/>
          <w:trHeight w:val="1550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74933095" w14:textId="77777777" w:rsidR="00B05772" w:rsidRPr="00B05772" w:rsidRDefault="00B05772" w:rsidP="00B05772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5772">
              <w:rPr>
                <w:rFonts w:ascii="Noto Serif Armenian Light" w:eastAsia="Arial" w:hAnsi="Noto Serif Armenian Light"/>
              </w:rPr>
              <w:t>Remove all off cuts and waste, sweep/vacuum the area. Leave the machine and work area in a safe, clean &amp; tidy state.</w:t>
            </w:r>
          </w:p>
          <w:p w14:paraId="7D1AA262" w14:textId="3F74C4FD" w:rsidR="00EC45F6" w:rsidRPr="006F7C31" w:rsidRDefault="00B05772" w:rsidP="006F7C31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5772">
              <w:rPr>
                <w:rFonts w:ascii="Noto Serif Armenian Light" w:eastAsia="Arial" w:hAnsi="Noto Serif Armenian Light"/>
              </w:rPr>
              <w:t>Return surplus material to stock and dispose of waste material in the appropriate recycling or waste bins.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0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CAB9" w14:textId="77777777" w:rsidR="00C21DA3" w:rsidRDefault="00C21DA3" w:rsidP="000A4560">
      <w:pPr>
        <w:spacing w:after="0" w:line="240" w:lineRule="auto"/>
      </w:pPr>
      <w:r>
        <w:separator/>
      </w:r>
    </w:p>
  </w:endnote>
  <w:endnote w:type="continuationSeparator" w:id="0">
    <w:p w14:paraId="486B97BB" w14:textId="77777777" w:rsidR="00C21DA3" w:rsidRDefault="00C21DA3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9933" w14:textId="77777777" w:rsidR="00C21DA3" w:rsidRDefault="00C21DA3" w:rsidP="000A4560">
      <w:pPr>
        <w:spacing w:after="0" w:line="240" w:lineRule="auto"/>
      </w:pPr>
      <w:r>
        <w:separator/>
      </w:r>
    </w:p>
  </w:footnote>
  <w:footnote w:type="continuationSeparator" w:id="0">
    <w:p w14:paraId="1C8962F1" w14:textId="77777777" w:rsidR="00C21DA3" w:rsidRDefault="00C21DA3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549342E7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32543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6051BB00" w:rsidR="00B308FC" w:rsidRDefault="00F32543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549342E7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32543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6051BB00" w:rsidR="00B308FC" w:rsidRDefault="00F32543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297656"/>
    <w:rsid w:val="002D6696"/>
    <w:rsid w:val="0035226C"/>
    <w:rsid w:val="00356151"/>
    <w:rsid w:val="00390A9C"/>
    <w:rsid w:val="004C0E22"/>
    <w:rsid w:val="005034BA"/>
    <w:rsid w:val="005B3A66"/>
    <w:rsid w:val="005D3974"/>
    <w:rsid w:val="0061632A"/>
    <w:rsid w:val="00670165"/>
    <w:rsid w:val="006A355D"/>
    <w:rsid w:val="006F7C31"/>
    <w:rsid w:val="007B77D6"/>
    <w:rsid w:val="007C2910"/>
    <w:rsid w:val="007E53AA"/>
    <w:rsid w:val="00881786"/>
    <w:rsid w:val="00881D8B"/>
    <w:rsid w:val="008C68CF"/>
    <w:rsid w:val="009175BB"/>
    <w:rsid w:val="009214F7"/>
    <w:rsid w:val="00950EEC"/>
    <w:rsid w:val="009A1882"/>
    <w:rsid w:val="009B25E3"/>
    <w:rsid w:val="00A61552"/>
    <w:rsid w:val="00AA7A78"/>
    <w:rsid w:val="00AD4256"/>
    <w:rsid w:val="00B05772"/>
    <w:rsid w:val="00B308FC"/>
    <w:rsid w:val="00BA76CA"/>
    <w:rsid w:val="00BE0CAA"/>
    <w:rsid w:val="00C02B8E"/>
    <w:rsid w:val="00C21DA3"/>
    <w:rsid w:val="00C5036B"/>
    <w:rsid w:val="00CB4075"/>
    <w:rsid w:val="00D622B9"/>
    <w:rsid w:val="00D91CAB"/>
    <w:rsid w:val="00E506C0"/>
    <w:rsid w:val="00EB2094"/>
    <w:rsid w:val="00EC45F6"/>
    <w:rsid w:val="00EE2988"/>
    <w:rsid w:val="00F141B7"/>
    <w:rsid w:val="00F174AD"/>
    <w:rsid w:val="00F32543"/>
    <w:rsid w:val="00F67C7F"/>
    <w:rsid w:val="00F7707E"/>
    <w:rsid w:val="00FC0BBC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1604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10</cp:revision>
  <dcterms:created xsi:type="dcterms:W3CDTF">2026-03-23T03:17:00Z</dcterms:created>
  <dcterms:modified xsi:type="dcterms:W3CDTF">2026-04-08T23:28:00Z</dcterms:modified>
</cp:coreProperties>
</file>