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41318D28" w:rsidR="00EC45F6" w:rsidRPr="00EC45F6" w:rsidRDefault="00061AC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Sliding Table 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55534A8E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21AF29B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077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3D51E122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8F0E09" w:rsidRP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Cutting hands / Pinch &amp; squash injuries /  Flying chips and debris / Eye injuries / Excessive noise   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0B10B2F0" w:rsidR="00EC45F6" w:rsidRPr="00EC45F6" w:rsidRDefault="000F508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96A3A" wp14:editId="3C2FA66F">
                  <wp:extent cx="762000" cy="1019175"/>
                  <wp:effectExtent l="0" t="0" r="0" b="9525"/>
                  <wp:docPr id="687571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1EA065F" w:rsidR="00EC45F6" w:rsidRPr="00EC45F6" w:rsidRDefault="00D52FC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B86C5E" wp14:editId="00435394">
                  <wp:extent cx="762000" cy="1028700"/>
                  <wp:effectExtent l="0" t="0" r="0" b="0"/>
                  <wp:docPr id="13909006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7A03276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0FDE31AC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A82BE6">
              <w:rPr>
                <w:noProof/>
                <w:sz w:val="20"/>
              </w:rPr>
              <w:drawing>
                <wp:inline distT="0" distB="0" distL="0" distR="0" wp14:anchorId="643CF400" wp14:editId="564AD51A">
                  <wp:extent cx="1647825" cy="1079500"/>
                  <wp:effectExtent l="0" t="0" r="9525" b="6350"/>
                  <wp:docPr id="2141111624" name="Picture 3" descr="C:\Users\kjohns\AppData\Local\Microsoft\Windows\INetCache\Content.MSO\73BCCD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johns\AppData\Local\Microsoft\Windows\INetCache\Content.MSO\73BCCD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6ED20393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Clear the area around the machine.</w:t>
            </w:r>
          </w:p>
          <w:p w14:paraId="09E020B5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Locate and check the operation of the emergency stop.</w:t>
            </w:r>
          </w:p>
          <w:p w14:paraId="76536E6E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Check the blade condition and type is correct for the task.</w:t>
            </w:r>
          </w:p>
          <w:p w14:paraId="79C07861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Check riving knife is correctly set and securely mounted.</w:t>
            </w:r>
          </w:p>
          <w:p w14:paraId="67D71C58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Do not store tools and parts on top of the machine.</w:t>
            </w:r>
          </w:p>
          <w:p w14:paraId="42674698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The fence must be set for all use of the machine.</w:t>
            </w:r>
          </w:p>
          <w:p w14:paraId="0F0BFAE8" w14:textId="77777777" w:rsidR="00EE6DC4" w:rsidRPr="00EE6DC4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The guard should be set as low as possible. Where auto adjusting, the saw blade guard should return to the table without assistance.</w:t>
            </w:r>
          </w:p>
          <w:p w14:paraId="0D6B7932" w14:textId="59A546E9" w:rsidR="00EC45F6" w:rsidRPr="00EC45F6" w:rsidRDefault="00EE6DC4" w:rsidP="00EE6DC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E6DC4">
              <w:rPr>
                <w:rFonts w:ascii="Noto Serif Armenian Light" w:eastAsia="Arial" w:hAnsi="Noto Serif Armenian Light"/>
              </w:rPr>
              <w:t>Faulty equipment must not be used. Immediately report suspect machinery.</w:t>
            </w:r>
          </w:p>
          <w:p w14:paraId="6F1533AD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56C8C85C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Stand to one side when turning on power and feeding material past blade.</w:t>
            </w:r>
          </w:p>
          <w:p w14:paraId="6FBB4FAE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Never leave the machine while it is still running.</w:t>
            </w:r>
          </w:p>
          <w:p w14:paraId="7FECB361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Check material being machined for nails and loose knots etc.</w:t>
            </w:r>
          </w:p>
          <w:p w14:paraId="36AA831B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Do not force materials past saw blade.</w:t>
            </w:r>
          </w:p>
          <w:p w14:paraId="467467D1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Wait for the machine to stop and isolate before making any adjustments.</w:t>
            </w:r>
          </w:p>
          <w:p w14:paraId="7ABFA1ED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Do not place your hands in line with the cut.</w:t>
            </w:r>
          </w:p>
          <w:p w14:paraId="24B3FB9B" w14:textId="77777777" w:rsidR="00B3648B" w:rsidRPr="00B3648B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Use a push stick for material less that 150mm wide and to remove offcuts.</w:t>
            </w:r>
          </w:p>
          <w:p w14:paraId="4ED1A016" w14:textId="27C8428D" w:rsidR="00EC45F6" w:rsidRPr="00EC45F6" w:rsidRDefault="00B3648B" w:rsidP="00B3648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3648B">
              <w:rPr>
                <w:rFonts w:ascii="Noto Serif Armenian Light" w:eastAsia="Arial" w:hAnsi="Noto Serif Armenian Light"/>
              </w:rPr>
              <w:t>Do not attempt to remove off-cuts or saw dust from the table with your hands when the blade is in motion.</w:t>
            </w:r>
          </w:p>
          <w:p w14:paraId="5AF738CB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1C938F6C" w14:textId="77777777" w:rsidR="00CC1334" w:rsidRPr="00CC1334" w:rsidRDefault="00CC1334" w:rsidP="00CC133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C1334">
              <w:rPr>
                <w:rFonts w:ascii="Noto Serif Armenian Light" w:eastAsia="Arial" w:hAnsi="Noto Serif Armenian Light"/>
              </w:rPr>
              <w:t>Switch off and lock out the machine.</w:t>
            </w:r>
          </w:p>
          <w:p w14:paraId="63F1EA04" w14:textId="77777777" w:rsidR="00CC1334" w:rsidRPr="00CC1334" w:rsidRDefault="00CC1334" w:rsidP="00CC133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C1334">
              <w:rPr>
                <w:rFonts w:ascii="Noto Serif Armenian Light" w:eastAsia="Arial" w:hAnsi="Noto Serif Armenian Light"/>
              </w:rPr>
              <w:t>Leave the machine in a safe, clean and tidy state.</w:t>
            </w:r>
          </w:p>
          <w:p w14:paraId="18407D7B" w14:textId="52AB75BE" w:rsidR="00EC45F6" w:rsidRPr="00EC45F6" w:rsidRDefault="00CC1334" w:rsidP="00CC133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CC1334">
              <w:rPr>
                <w:rFonts w:ascii="Noto Serif Armenian Light" w:eastAsia="Arial" w:hAnsi="Noto Serif Armenian Light"/>
              </w:rPr>
              <w:t>Remove false fence if one was used.</w:t>
            </w:r>
          </w:p>
          <w:p w14:paraId="7D1AA262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CE5A" w14:textId="77777777" w:rsidR="000B1624" w:rsidRDefault="000B1624" w:rsidP="000A4560">
      <w:pPr>
        <w:spacing w:after="0" w:line="240" w:lineRule="auto"/>
      </w:pPr>
      <w:r>
        <w:separator/>
      </w:r>
    </w:p>
  </w:endnote>
  <w:endnote w:type="continuationSeparator" w:id="0">
    <w:p w14:paraId="655A96AD" w14:textId="77777777" w:rsidR="000B1624" w:rsidRDefault="000B1624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8CC8" w14:textId="77777777" w:rsidR="000B1624" w:rsidRDefault="000B1624" w:rsidP="000A4560">
      <w:pPr>
        <w:spacing w:after="0" w:line="240" w:lineRule="auto"/>
      </w:pPr>
      <w:r>
        <w:separator/>
      </w:r>
    </w:p>
  </w:footnote>
  <w:footnote w:type="continuationSeparator" w:id="0">
    <w:p w14:paraId="6C8C2BAF" w14:textId="77777777" w:rsidR="000B1624" w:rsidRDefault="000B1624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1AC6"/>
    <w:rsid w:val="00090DE8"/>
    <w:rsid w:val="000A4560"/>
    <w:rsid w:val="000B1624"/>
    <w:rsid w:val="000D75C3"/>
    <w:rsid w:val="000F5080"/>
    <w:rsid w:val="00120BFC"/>
    <w:rsid w:val="00150414"/>
    <w:rsid w:val="00197A7D"/>
    <w:rsid w:val="00283265"/>
    <w:rsid w:val="0035226C"/>
    <w:rsid w:val="00356151"/>
    <w:rsid w:val="00390A9C"/>
    <w:rsid w:val="005034BA"/>
    <w:rsid w:val="005B6138"/>
    <w:rsid w:val="005D3974"/>
    <w:rsid w:val="0061632A"/>
    <w:rsid w:val="007B77D6"/>
    <w:rsid w:val="007C2910"/>
    <w:rsid w:val="007E53AA"/>
    <w:rsid w:val="00881786"/>
    <w:rsid w:val="008C68CF"/>
    <w:rsid w:val="008F0E09"/>
    <w:rsid w:val="009175BB"/>
    <w:rsid w:val="009214F7"/>
    <w:rsid w:val="009B25E3"/>
    <w:rsid w:val="00A356EE"/>
    <w:rsid w:val="00AA7A78"/>
    <w:rsid w:val="00AD4256"/>
    <w:rsid w:val="00B308FC"/>
    <w:rsid w:val="00B3648B"/>
    <w:rsid w:val="00BA76CA"/>
    <w:rsid w:val="00BE0CAA"/>
    <w:rsid w:val="00C02B8E"/>
    <w:rsid w:val="00CB4075"/>
    <w:rsid w:val="00CC1334"/>
    <w:rsid w:val="00D52FC0"/>
    <w:rsid w:val="00E506C0"/>
    <w:rsid w:val="00EB2094"/>
    <w:rsid w:val="00EC45F6"/>
    <w:rsid w:val="00EE2988"/>
    <w:rsid w:val="00EE6DC4"/>
    <w:rsid w:val="00F141B7"/>
    <w:rsid w:val="00F46F2E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1322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8</cp:revision>
  <dcterms:created xsi:type="dcterms:W3CDTF">2026-03-23T05:23:00Z</dcterms:created>
  <dcterms:modified xsi:type="dcterms:W3CDTF">2026-03-23T05:26:00Z</dcterms:modified>
</cp:coreProperties>
</file>