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7E68770" w:rsidR="00EC45F6" w:rsidRPr="00EC45F6" w:rsidRDefault="005727E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T</w:t>
            </w:r>
            <w:r w:rsidR="004E3A0C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imber Scroll</w:t>
            </w:r>
            <w:r w:rsidR="00F728F6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 xml:space="preserve"> 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C982C6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1E3198">
              <w:rPr>
                <w:rFonts w:ascii="Noto Serif Armenian Light" w:hAnsi="Noto Serif Armenian Light"/>
                <w:b/>
                <w:sz w:val="18"/>
                <w:szCs w:val="18"/>
              </w:rPr>
              <w:t>90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2003087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1E3198">
              <w:rPr>
                <w:rFonts w:ascii="Noto Serif Armenian Light" w:hAnsi="Noto Serif Armenian Light"/>
                <w:b/>
                <w:sz w:val="18"/>
                <w:szCs w:val="18"/>
              </w:rPr>
              <w:t>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55D4DD7E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DC56D8">
              <w:t xml:space="preserve"> </w:t>
            </w:r>
            <w:r w:rsidR="00DC56D8" w:rsidRPr="00DC56D8">
              <w:rPr>
                <w:rFonts w:ascii="Noto Serif Armenian Light" w:hAnsi="Noto Serif Armenian Light" w:cs="Arial"/>
                <w:b/>
                <w:sz w:val="20"/>
                <w:szCs w:val="20"/>
              </w:rPr>
              <w:t>Oscillating sharp blades, dust and fumes, eye injuries, electricity, pinch and squash.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A231D30" w:rsidR="00EC45F6" w:rsidRPr="00EC45F6" w:rsidRDefault="00884BA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154011F" wp14:editId="47D67A6A">
                  <wp:extent cx="762000" cy="1028700"/>
                  <wp:effectExtent l="0" t="0" r="0" b="0"/>
                  <wp:docPr id="23354956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5C3F9DD8" w:rsidR="00EC45F6" w:rsidRPr="00EC45F6" w:rsidRDefault="007C424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7C424A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F97504C" wp14:editId="0CD36EA8">
                  <wp:extent cx="1084755" cy="1098550"/>
                  <wp:effectExtent l="0" t="0" r="1270" b="6350"/>
                  <wp:docPr id="1032942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9420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003" cy="110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4A50BED0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 xml:space="preserve">Ensure no slip/trip hazards are present in workspaces and walkways. </w:t>
            </w:r>
          </w:p>
          <w:p w14:paraId="16B507CF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>Locate and ensure you are familiar with the operation of the ON/OFF starter and lockable E-Stop.</w:t>
            </w:r>
          </w:p>
          <w:p w14:paraId="39F9464C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 xml:space="preserve">Check that the blade guard is securely fixed in position. </w:t>
            </w:r>
          </w:p>
          <w:p w14:paraId="2B0AB0FF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 xml:space="preserve">Ensure the blade teeth point downward, toward the table. </w:t>
            </w:r>
          </w:p>
          <w:p w14:paraId="5434E2E1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>Make all adjustments only when the machine is turned off and unplugged from the power source.</w:t>
            </w:r>
          </w:p>
          <w:p w14:paraId="0BF0AD14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>Choose the correct size and style blade for the material and the type of cutting planned.</w:t>
            </w:r>
          </w:p>
          <w:p w14:paraId="2B2C9BDA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 xml:space="preserve">Tighten the blade securely in the chucks and adjust it in-line with the blade support. </w:t>
            </w:r>
          </w:p>
          <w:p w14:paraId="6963CDE3" w14:textId="77777777" w:rsidR="00DC0AF4" w:rsidRPr="00DC0AF4" w:rsidRDefault="00DC0AF4" w:rsidP="00DC0AF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DC0AF4">
              <w:rPr>
                <w:rFonts w:ascii="Noto Serif Armenian Light" w:eastAsia="Arial" w:hAnsi="Noto Serif Armenian Light"/>
              </w:rPr>
              <w:t xml:space="preserve">Ensure the blade tension is properly adjusted. If "knocking" is heard, readjust the tension. </w:t>
            </w:r>
          </w:p>
          <w:p w14:paraId="6F1533AD" w14:textId="34DE798C" w:rsidR="00EC45F6" w:rsidRPr="00EC45F6" w:rsidRDefault="00DC0AF4" w:rsidP="00DC0AF4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DC0AF4">
              <w:rPr>
                <w:rFonts w:ascii="Noto Serif Armenian Light" w:eastAsia="Arial" w:hAnsi="Noto Serif Armenian Light"/>
              </w:rPr>
              <w:t>Faulty equipment must not be used. Immediately report suspect machinery.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0A9EEDF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Never leave the machine running unattended. </w:t>
            </w:r>
          </w:p>
          <w:p w14:paraId="523DBA1A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Start the dust extraction unit before using the saw (if fitted). </w:t>
            </w:r>
          </w:p>
          <w:p w14:paraId="2519502A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Ensure material to be sawed is of correct size/shape, can be held safely during operation and only use materials free from defects. </w:t>
            </w:r>
          </w:p>
          <w:p w14:paraId="57251121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 Ensure that the stock rests securely on the table and never start the saw with the blade in contact with the material. </w:t>
            </w:r>
          </w:p>
          <w:p w14:paraId="440F0FD5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Use a safe working posture and never overreach — you may slip and fall into the machine. </w:t>
            </w:r>
          </w:p>
          <w:p w14:paraId="10DF26FD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Keep your hands, fingers, and body parts well out of the way of the blade. Never have your hand or fingers in the line of cut. </w:t>
            </w:r>
          </w:p>
          <w:p w14:paraId="5BE76BC2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 xml:space="preserve">Give the blade time to do its job. The teeth are small and you must feed your work slowly don’t force your material into the blade. If you are cutting a radius or circle don’t turn too sharply. </w:t>
            </w:r>
          </w:p>
          <w:p w14:paraId="581DE5FD" w14:textId="77777777" w:rsidR="00324B95" w:rsidRPr="00324B95" w:rsidRDefault="00324B95" w:rsidP="00324B95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324B95">
              <w:rPr>
                <w:rFonts w:ascii="Noto Serif Armenian Light" w:eastAsia="Arial" w:hAnsi="Noto Serif Armenian Light"/>
              </w:rPr>
              <w:t>Never attempt to remove timber swarf by hand. Always turn off the machine and use a brush.</w:t>
            </w:r>
          </w:p>
          <w:p w14:paraId="5AF738CB" w14:textId="47BD3513" w:rsidR="00EC45F6" w:rsidRPr="00EC45F6" w:rsidRDefault="00EC45F6" w:rsidP="00324B95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ind w:left="36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4FDD7BBE" w14:textId="77777777" w:rsidR="00187175" w:rsidRPr="00187175" w:rsidRDefault="00187175" w:rsidP="0018717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7175">
              <w:rPr>
                <w:rFonts w:ascii="Noto Serif Armenian Light" w:eastAsia="Arial" w:hAnsi="Noto Serif Armenian Light"/>
              </w:rPr>
              <w:t xml:space="preserve">Switch off the equipment, engage E-stop and reset all guards to a fully closed position. </w:t>
            </w:r>
          </w:p>
          <w:p w14:paraId="7EE1054E" w14:textId="77777777" w:rsidR="00187175" w:rsidRPr="00187175" w:rsidRDefault="00187175" w:rsidP="0018717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7175">
              <w:rPr>
                <w:rFonts w:ascii="Noto Serif Armenian Light" w:eastAsia="Arial" w:hAnsi="Noto Serif Armenian Light"/>
              </w:rPr>
              <w:t xml:space="preserve">Return all tooling and fixtures to the correct storage location. </w:t>
            </w:r>
          </w:p>
          <w:p w14:paraId="19958703" w14:textId="77777777" w:rsidR="00187175" w:rsidRPr="00187175" w:rsidRDefault="00187175" w:rsidP="0018717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7175">
              <w:rPr>
                <w:rFonts w:ascii="Noto Serif Armenian Light" w:eastAsia="Arial" w:hAnsi="Noto Serif Armenian Light"/>
              </w:rPr>
              <w:t>Leave the machine and work area in a safe, clean and tidy state.</w:t>
            </w:r>
          </w:p>
          <w:p w14:paraId="20E88DB3" w14:textId="64A431F9" w:rsidR="000F216C" w:rsidRDefault="00187175" w:rsidP="00187175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187175">
              <w:rPr>
                <w:rFonts w:ascii="Noto Serif Armenian Light" w:eastAsia="Arial" w:hAnsi="Noto Serif Armenian Light"/>
              </w:rPr>
              <w:t>Return surplus material to stock &amp; dispose of waste material in an appropriate recycling or waste bin.</w:t>
            </w:r>
          </w:p>
          <w:p w14:paraId="4BF5DE1A" w14:textId="77777777" w:rsidR="000F216C" w:rsidRPr="000F216C" w:rsidRDefault="000F216C" w:rsidP="000F216C">
            <w:pPr>
              <w:spacing w:after="0" w:line="240" w:lineRule="auto"/>
              <w:ind w:left="360"/>
              <w:rPr>
                <w:rFonts w:ascii="Noto Serif Armenian Light" w:eastAsia="Arial" w:hAnsi="Noto Serif Armenian Light"/>
              </w:rPr>
            </w:pPr>
          </w:p>
          <w:p w14:paraId="7D1AA262" w14:textId="23743E54" w:rsidR="00E6788F" w:rsidRPr="00187175" w:rsidRDefault="00E6788F" w:rsidP="00187175">
            <w:pPr>
              <w:spacing w:after="0" w:line="240" w:lineRule="auto"/>
              <w:rPr>
                <w:rFonts w:ascii="Noto Serif Armenian Light" w:eastAsia="Arial" w:hAnsi="Noto Serif Armenian Light"/>
              </w:rPr>
            </w:pP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C547" w14:textId="77777777" w:rsidR="003976BE" w:rsidRDefault="003976BE" w:rsidP="000A4560">
      <w:pPr>
        <w:spacing w:after="0" w:line="240" w:lineRule="auto"/>
      </w:pPr>
      <w:r>
        <w:separator/>
      </w:r>
    </w:p>
  </w:endnote>
  <w:endnote w:type="continuationSeparator" w:id="0">
    <w:p w14:paraId="06A7DBA5" w14:textId="77777777" w:rsidR="003976BE" w:rsidRDefault="003976BE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1065" w14:textId="77777777" w:rsidR="003976BE" w:rsidRDefault="003976BE" w:rsidP="000A4560">
      <w:pPr>
        <w:spacing w:after="0" w:line="240" w:lineRule="auto"/>
      </w:pPr>
      <w:r>
        <w:separator/>
      </w:r>
    </w:p>
  </w:footnote>
  <w:footnote w:type="continuationSeparator" w:id="0">
    <w:p w14:paraId="2495F0B4" w14:textId="77777777" w:rsidR="003976BE" w:rsidRDefault="003976BE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3782366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95A98"/>
    <w:rsid w:val="000A4560"/>
    <w:rsid w:val="000D51E6"/>
    <w:rsid w:val="000D75C3"/>
    <w:rsid w:val="000E0A54"/>
    <w:rsid w:val="000F216C"/>
    <w:rsid w:val="000F5080"/>
    <w:rsid w:val="00120BFC"/>
    <w:rsid w:val="00150414"/>
    <w:rsid w:val="001813BF"/>
    <w:rsid w:val="00187175"/>
    <w:rsid w:val="00197A7D"/>
    <w:rsid w:val="001E3198"/>
    <w:rsid w:val="00261F82"/>
    <w:rsid w:val="00283265"/>
    <w:rsid w:val="002C6CD0"/>
    <w:rsid w:val="002D718E"/>
    <w:rsid w:val="00303D0B"/>
    <w:rsid w:val="00324B95"/>
    <w:rsid w:val="0035226C"/>
    <w:rsid w:val="00356151"/>
    <w:rsid w:val="00390A9C"/>
    <w:rsid w:val="003976BE"/>
    <w:rsid w:val="00412C24"/>
    <w:rsid w:val="00453FB3"/>
    <w:rsid w:val="00455097"/>
    <w:rsid w:val="004E3A0C"/>
    <w:rsid w:val="005034BA"/>
    <w:rsid w:val="005727E7"/>
    <w:rsid w:val="005B6138"/>
    <w:rsid w:val="005D3974"/>
    <w:rsid w:val="0061632A"/>
    <w:rsid w:val="006F1178"/>
    <w:rsid w:val="007A5706"/>
    <w:rsid w:val="007B77D6"/>
    <w:rsid w:val="007C2910"/>
    <w:rsid w:val="007C3882"/>
    <w:rsid w:val="007C424A"/>
    <w:rsid w:val="007E53AA"/>
    <w:rsid w:val="0082581D"/>
    <w:rsid w:val="00826E7D"/>
    <w:rsid w:val="00881786"/>
    <w:rsid w:val="00884BA1"/>
    <w:rsid w:val="008C68CF"/>
    <w:rsid w:val="008F0E09"/>
    <w:rsid w:val="00903220"/>
    <w:rsid w:val="009072B5"/>
    <w:rsid w:val="009160A0"/>
    <w:rsid w:val="009175BB"/>
    <w:rsid w:val="009214F7"/>
    <w:rsid w:val="0095009A"/>
    <w:rsid w:val="009B25E3"/>
    <w:rsid w:val="009E038C"/>
    <w:rsid w:val="00A356EE"/>
    <w:rsid w:val="00A77F02"/>
    <w:rsid w:val="00AA7A78"/>
    <w:rsid w:val="00AB2582"/>
    <w:rsid w:val="00AD4256"/>
    <w:rsid w:val="00AE345A"/>
    <w:rsid w:val="00B0329D"/>
    <w:rsid w:val="00B308FC"/>
    <w:rsid w:val="00B3648B"/>
    <w:rsid w:val="00B525DA"/>
    <w:rsid w:val="00BA76CA"/>
    <w:rsid w:val="00BE0CAA"/>
    <w:rsid w:val="00C02B8E"/>
    <w:rsid w:val="00C341CB"/>
    <w:rsid w:val="00CA712E"/>
    <w:rsid w:val="00CB4075"/>
    <w:rsid w:val="00CB4F9F"/>
    <w:rsid w:val="00CC1334"/>
    <w:rsid w:val="00D20009"/>
    <w:rsid w:val="00D52FC0"/>
    <w:rsid w:val="00DC0AF4"/>
    <w:rsid w:val="00DC56D8"/>
    <w:rsid w:val="00E506C0"/>
    <w:rsid w:val="00E6788F"/>
    <w:rsid w:val="00EB2094"/>
    <w:rsid w:val="00EC45F6"/>
    <w:rsid w:val="00EE2988"/>
    <w:rsid w:val="00EE6DC4"/>
    <w:rsid w:val="00EF1298"/>
    <w:rsid w:val="00F06355"/>
    <w:rsid w:val="00F07134"/>
    <w:rsid w:val="00F141B7"/>
    <w:rsid w:val="00F31ABD"/>
    <w:rsid w:val="00F50DCB"/>
    <w:rsid w:val="00F67C7F"/>
    <w:rsid w:val="00F728F6"/>
    <w:rsid w:val="00F7707E"/>
    <w:rsid w:val="00FC0BBC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1938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10</cp:revision>
  <dcterms:created xsi:type="dcterms:W3CDTF">2026-03-23T20:57:00Z</dcterms:created>
  <dcterms:modified xsi:type="dcterms:W3CDTF">2026-03-23T21:00:00Z</dcterms:modified>
</cp:coreProperties>
</file>