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08ED06B6" w:rsidR="0035226C" w:rsidRDefault="00C97034" w:rsidP="00BE0CAA">
      <w:pPr>
        <w:jc w:val="center"/>
        <w:rPr>
          <w:b/>
          <w:bCs/>
          <w:color w:val="533E7C" w:themeColor="accent1"/>
          <w:sz w:val="32"/>
          <w:szCs w:val="32"/>
        </w:rPr>
      </w:pPr>
      <w:r>
        <w:rPr>
          <w:b/>
          <w:bCs/>
          <w:color w:val="533E7C" w:themeColor="accent1"/>
          <w:sz w:val="32"/>
          <w:szCs w:val="32"/>
        </w:rPr>
        <w:t xml:space="preserve">Dealing with Needles/Sharps </w:t>
      </w:r>
      <w:proofErr w:type="spellStart"/>
      <w:r>
        <w:rPr>
          <w:b/>
          <w:bCs/>
          <w:color w:val="533E7C" w:themeColor="accent1"/>
          <w:sz w:val="32"/>
          <w:szCs w:val="32"/>
        </w:rPr>
        <w:t>Guidline</w:t>
      </w:r>
      <w:proofErr w:type="spellEnd"/>
    </w:p>
    <w:p w14:paraId="69D26D90" w14:textId="77777777" w:rsidR="00C97034" w:rsidRPr="00C97034" w:rsidRDefault="00C97034" w:rsidP="00C97034">
      <w:pPr>
        <w:rPr>
          <w:rFonts w:ascii="Noto Serif Armenian Light" w:hAnsi="Noto Serif Armenian Light"/>
          <w:b/>
          <w:color w:val="533E7C" w:themeColor="accent1"/>
          <w:sz w:val="24"/>
          <w:szCs w:val="24"/>
        </w:rPr>
      </w:pPr>
      <w:r w:rsidRPr="00C97034">
        <w:rPr>
          <w:rFonts w:ascii="Noto Serif Armenian Light" w:hAnsi="Noto Serif Armenian Light"/>
          <w:b/>
          <w:color w:val="533E7C" w:themeColor="accent1"/>
          <w:sz w:val="24"/>
          <w:szCs w:val="24"/>
        </w:rPr>
        <w:t>Finding a discarded Needle</w:t>
      </w:r>
    </w:p>
    <w:p w14:paraId="48C21D2E" w14:textId="77777777" w:rsidR="00C97034" w:rsidRPr="00C97034" w:rsidRDefault="00C97034" w:rsidP="00C97034">
      <w:pPr>
        <w:rPr>
          <w:rFonts w:ascii="Noto Serif Armenian Light" w:hAnsi="Noto Serif Armenian Light"/>
        </w:rPr>
      </w:pPr>
      <w:r w:rsidRPr="00C97034">
        <w:rPr>
          <w:rFonts w:ascii="Noto Serif Armenian Light" w:hAnsi="Noto Serif Armenian Light"/>
        </w:rPr>
        <w:t>If you find a discarded needle and syringe, follow this advice to protect yourself against a needle stick injury:</w:t>
      </w:r>
    </w:p>
    <w:p w14:paraId="59E64ED1"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do not be </w:t>
      </w:r>
      <w:proofErr w:type="gramStart"/>
      <w:r w:rsidRPr="00C97034">
        <w:rPr>
          <w:rFonts w:ascii="Noto Serif Armenian Light" w:hAnsi="Noto Serif Armenian Light"/>
        </w:rPr>
        <w:t>alarmed;</w:t>
      </w:r>
      <w:proofErr w:type="gramEnd"/>
      <w:r w:rsidRPr="00C97034">
        <w:rPr>
          <w:rFonts w:ascii="Noto Serif Armenian Light" w:hAnsi="Noto Serif Armenian Light"/>
        </w:rPr>
        <w:t xml:space="preserve"> </w:t>
      </w:r>
    </w:p>
    <w:p w14:paraId="736A9159"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get a rigid-walled, puncture resistant, plastic container with a well-secured lid, preferably screw top. Avoid using glass which can shatter, aluminium that can be squashed or frosted plastic that may not be puncture-</w:t>
      </w:r>
      <w:proofErr w:type="gramStart"/>
      <w:r w:rsidRPr="00C97034">
        <w:rPr>
          <w:rFonts w:ascii="Noto Serif Armenian Light" w:hAnsi="Noto Serif Armenian Light"/>
        </w:rPr>
        <w:t>proof;</w:t>
      </w:r>
      <w:proofErr w:type="gramEnd"/>
    </w:p>
    <w:p w14:paraId="5A56F2F9"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bring the container to the needle and syringe, and place on the ground next to the needle and syringe. Do not hold the container as you are putting the syringe in </w:t>
      </w:r>
      <w:proofErr w:type="gramStart"/>
      <w:r w:rsidRPr="00C97034">
        <w:rPr>
          <w:rFonts w:ascii="Noto Serif Armenian Light" w:hAnsi="Noto Serif Armenian Light"/>
        </w:rPr>
        <w:t>it;</w:t>
      </w:r>
      <w:proofErr w:type="gramEnd"/>
    </w:p>
    <w:p w14:paraId="54B42D2C"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pick up the used needle and syringe by the blunt end, away from the point. Do not touch the sharp </w:t>
      </w:r>
      <w:proofErr w:type="gramStart"/>
      <w:r w:rsidRPr="00C97034">
        <w:rPr>
          <w:rFonts w:ascii="Noto Serif Armenian Light" w:hAnsi="Noto Serif Armenian Light"/>
        </w:rPr>
        <w:t>point;</w:t>
      </w:r>
      <w:proofErr w:type="gramEnd"/>
    </w:p>
    <w:p w14:paraId="1F35CE59"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do not try to put the plastic protective cap back on a needle if it has been </w:t>
      </w:r>
      <w:proofErr w:type="gramStart"/>
      <w:r w:rsidRPr="00C97034">
        <w:rPr>
          <w:rFonts w:ascii="Noto Serif Armenian Light" w:hAnsi="Noto Serif Armenian Light"/>
        </w:rPr>
        <w:t>removed;</w:t>
      </w:r>
      <w:proofErr w:type="gramEnd"/>
    </w:p>
    <w:p w14:paraId="6E39EC3E"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put the needle and syringe, point first into the container. More than one needle and syringe can be placed in the container, but do not overfill. Do not carry the needle and syringe unless it is in a suitable </w:t>
      </w:r>
      <w:proofErr w:type="gramStart"/>
      <w:r w:rsidRPr="00C97034">
        <w:rPr>
          <w:rFonts w:ascii="Noto Serif Armenian Light" w:hAnsi="Noto Serif Armenian Light"/>
        </w:rPr>
        <w:t>container;</w:t>
      </w:r>
      <w:proofErr w:type="gramEnd"/>
    </w:p>
    <w:p w14:paraId="3F290467"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make sure the container is tightly sealed and return to a </w:t>
      </w:r>
      <w:proofErr w:type="gramStart"/>
      <w:r w:rsidRPr="00C97034">
        <w:rPr>
          <w:rFonts w:ascii="Noto Serif Armenian Light" w:hAnsi="Noto Serif Armenian Light"/>
        </w:rPr>
        <w:t>sharps</w:t>
      </w:r>
      <w:proofErr w:type="gramEnd"/>
      <w:r w:rsidRPr="00C97034">
        <w:rPr>
          <w:rFonts w:ascii="Noto Serif Armenian Light" w:hAnsi="Noto Serif Armenian Light"/>
        </w:rPr>
        <w:t xml:space="preserve"> disposal outlet;</w:t>
      </w:r>
    </w:p>
    <w:p w14:paraId="239AC341" w14:textId="77777777" w:rsidR="00C97034" w:rsidRPr="00C97034" w:rsidRDefault="00C97034" w:rsidP="00C97034">
      <w:pPr>
        <w:pStyle w:val="ListParagraph"/>
        <w:numPr>
          <w:ilvl w:val="0"/>
          <w:numId w:val="1"/>
        </w:numPr>
        <w:spacing w:before="0"/>
        <w:ind w:left="720" w:hanging="720"/>
        <w:contextualSpacing w:val="0"/>
        <w:jc w:val="left"/>
        <w:rPr>
          <w:rFonts w:ascii="Noto Serif Armenian Light" w:hAnsi="Noto Serif Armenian Light"/>
          <w:b/>
        </w:rPr>
      </w:pPr>
      <w:r w:rsidRPr="00C97034">
        <w:rPr>
          <w:rFonts w:ascii="Noto Serif Armenian Light" w:hAnsi="Noto Serif Armenian Light"/>
        </w:rPr>
        <w:t>If you are accidently pricked with the needle, seek medical advice.</w:t>
      </w:r>
    </w:p>
    <w:p w14:paraId="0341544E" w14:textId="77777777" w:rsidR="00C97034" w:rsidRPr="00C97034" w:rsidRDefault="00C97034" w:rsidP="00C97034">
      <w:pPr>
        <w:rPr>
          <w:rFonts w:ascii="Noto Serif Armenian Light" w:hAnsi="Noto Serif Armenian Light"/>
          <w:b/>
          <w:color w:val="533E7C" w:themeColor="accent1"/>
          <w:sz w:val="24"/>
          <w:szCs w:val="24"/>
        </w:rPr>
      </w:pPr>
      <w:r w:rsidRPr="00C97034">
        <w:rPr>
          <w:rFonts w:ascii="Noto Serif Armenian Light" w:hAnsi="Noto Serif Armenian Light"/>
          <w:b/>
          <w:color w:val="533E7C" w:themeColor="accent1"/>
          <w:sz w:val="24"/>
          <w:szCs w:val="24"/>
        </w:rPr>
        <w:t>Needle stick Injury</w:t>
      </w:r>
    </w:p>
    <w:p w14:paraId="7C4BF6F2" w14:textId="77777777" w:rsidR="00C97034" w:rsidRPr="00C97034" w:rsidRDefault="00C97034" w:rsidP="00C97034">
      <w:pPr>
        <w:rPr>
          <w:rFonts w:ascii="Noto Serif Armenian Light" w:hAnsi="Noto Serif Armenian Light"/>
        </w:rPr>
      </w:pPr>
      <w:r w:rsidRPr="00C97034">
        <w:rPr>
          <w:rFonts w:ascii="Noto Serif Armenian Light" w:hAnsi="Noto Serif Armenian Light"/>
        </w:rPr>
        <w:t>Please note that a person who has an open wound/s is at greater risk from infectious agents.</w:t>
      </w:r>
    </w:p>
    <w:p w14:paraId="094D8E1E" w14:textId="77777777" w:rsidR="00C97034" w:rsidRPr="00C97034" w:rsidRDefault="00C97034" w:rsidP="00C97034">
      <w:pPr>
        <w:rPr>
          <w:rFonts w:ascii="Noto Serif Armenian Light" w:hAnsi="Noto Serif Armenian Light"/>
        </w:rPr>
      </w:pPr>
      <w:r w:rsidRPr="00C97034">
        <w:rPr>
          <w:rFonts w:ascii="Noto Serif Armenian Light" w:hAnsi="Noto Serif Armenian Light"/>
        </w:rPr>
        <w:t>If a person sustains a ‘needle stick/sharps’ injury:</w:t>
      </w:r>
    </w:p>
    <w:p w14:paraId="7F51C42D"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administer appropriate first aid for any bleeding or embedded object. Gain assistance from a first aider if </w:t>
      </w:r>
      <w:proofErr w:type="gramStart"/>
      <w:r w:rsidRPr="00C97034">
        <w:rPr>
          <w:rFonts w:ascii="Noto Serif Armenian Light" w:hAnsi="Noto Serif Armenian Light"/>
        </w:rPr>
        <w:t>required;</w:t>
      </w:r>
      <w:proofErr w:type="gramEnd"/>
    </w:p>
    <w:p w14:paraId="7EDFE3C9"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wash the wound or skin site thoroughly with soap and water or use a waterless cleanser or antiseptic if water is unavailable. Apply a waterproof dressing as </w:t>
      </w:r>
      <w:proofErr w:type="gramStart"/>
      <w:r w:rsidRPr="00C97034">
        <w:rPr>
          <w:rFonts w:ascii="Noto Serif Armenian Light" w:hAnsi="Noto Serif Armenian Light"/>
        </w:rPr>
        <w:t>necessary, and</w:t>
      </w:r>
      <w:proofErr w:type="gramEnd"/>
      <w:r w:rsidRPr="00C97034">
        <w:rPr>
          <w:rFonts w:ascii="Noto Serif Armenian Light" w:hAnsi="Noto Serif Armenian Light"/>
        </w:rPr>
        <w:t xml:space="preserve"> apply pressure through the dressing if bleeding is still occurring. Do not squeeze or rub the injury </w:t>
      </w:r>
      <w:proofErr w:type="gramStart"/>
      <w:r w:rsidRPr="00C97034">
        <w:rPr>
          <w:rFonts w:ascii="Noto Serif Armenian Light" w:hAnsi="Noto Serif Armenian Light"/>
        </w:rPr>
        <w:t>site;</w:t>
      </w:r>
      <w:proofErr w:type="gramEnd"/>
    </w:p>
    <w:p w14:paraId="6E329685"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if blood or blood products make contact with eyes, rinse the eyes gently but thoroughly (remove contact lenses), for at least 30 seconds, with water or normal </w:t>
      </w:r>
      <w:proofErr w:type="gramStart"/>
      <w:r w:rsidRPr="00C97034">
        <w:rPr>
          <w:rFonts w:ascii="Noto Serif Armenian Light" w:hAnsi="Noto Serif Armenian Light"/>
        </w:rPr>
        <w:t>saline;</w:t>
      </w:r>
      <w:proofErr w:type="gramEnd"/>
    </w:p>
    <w:p w14:paraId="25C559F0"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if blood or body fluids are sprayed into the mouth, spit out and then rinse the mouth with water several </w:t>
      </w:r>
      <w:proofErr w:type="gramStart"/>
      <w:r w:rsidRPr="00C97034">
        <w:rPr>
          <w:rFonts w:ascii="Noto Serif Armenian Light" w:hAnsi="Noto Serif Armenian Light"/>
        </w:rPr>
        <w:t>times;</w:t>
      </w:r>
      <w:proofErr w:type="gramEnd"/>
    </w:p>
    <w:p w14:paraId="1F181C23"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if any clothing is contaminated, remove and shower if </w:t>
      </w:r>
      <w:proofErr w:type="gramStart"/>
      <w:r w:rsidRPr="00C97034">
        <w:rPr>
          <w:rFonts w:ascii="Noto Serif Armenian Light" w:hAnsi="Noto Serif Armenian Light"/>
        </w:rPr>
        <w:t>necessary;</w:t>
      </w:r>
      <w:proofErr w:type="gramEnd"/>
    </w:p>
    <w:p w14:paraId="7AFC3D48"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identify the source individual or the source of the sharp if possible and assess the risk status of the source </w:t>
      </w:r>
      <w:proofErr w:type="gramStart"/>
      <w:r w:rsidRPr="00C97034">
        <w:rPr>
          <w:rFonts w:ascii="Noto Serif Armenian Light" w:hAnsi="Noto Serif Armenian Light"/>
        </w:rPr>
        <w:t>individual;</w:t>
      </w:r>
      <w:proofErr w:type="gramEnd"/>
    </w:p>
    <w:p w14:paraId="39C7F9CE"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lastRenderedPageBreak/>
        <w:t xml:space="preserve">all workers who sustain a sharps injury in which there is any risk of contamination must consult with a general medical practitioner.  The medical practitioner will determine further medical management, advice and, if necessary, </w:t>
      </w:r>
      <w:proofErr w:type="gramStart"/>
      <w:r w:rsidRPr="00C97034">
        <w:rPr>
          <w:rFonts w:ascii="Noto Serif Armenian Light" w:hAnsi="Noto Serif Armenian Light"/>
        </w:rPr>
        <w:t>counselling;</w:t>
      </w:r>
      <w:proofErr w:type="gramEnd"/>
    </w:p>
    <w:p w14:paraId="47C7170C"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if a source individual is identified, they should be strongly encouraged to undergo blood </w:t>
      </w:r>
      <w:proofErr w:type="gramStart"/>
      <w:r w:rsidRPr="00C97034">
        <w:rPr>
          <w:rFonts w:ascii="Noto Serif Armenian Light" w:hAnsi="Noto Serif Armenian Light"/>
        </w:rPr>
        <w:t>testing;</w:t>
      </w:r>
      <w:proofErr w:type="gramEnd"/>
    </w:p>
    <w:p w14:paraId="3BCBFE94"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if the source is unable to be identified, follow-up will depend on the type of exposure, the likelihood of the source being positive for a blood pathogen and the prevalence of blood-borne infections in the community from which the needles or instruments </w:t>
      </w:r>
      <w:proofErr w:type="gramStart"/>
      <w:r w:rsidRPr="00C97034">
        <w:rPr>
          <w:rFonts w:ascii="Noto Serif Armenian Light" w:hAnsi="Noto Serif Armenian Light"/>
        </w:rPr>
        <w:t>come;</w:t>
      </w:r>
      <w:proofErr w:type="gramEnd"/>
    </w:p>
    <w:p w14:paraId="1BF237BA"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the risk of tetanus should also be determined as the person may require either tetanus immunoglobulin, a course of adult diphtheria and tetanus (ADT) or an ADT </w:t>
      </w:r>
      <w:proofErr w:type="gramStart"/>
      <w:r w:rsidRPr="00C97034">
        <w:rPr>
          <w:rFonts w:ascii="Noto Serif Armenian Light" w:hAnsi="Noto Serif Armenian Light"/>
        </w:rPr>
        <w:t>booster;</w:t>
      </w:r>
      <w:proofErr w:type="gramEnd"/>
    </w:p>
    <w:p w14:paraId="3650AABF"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 xml:space="preserve">report the incident to Officer / Manager and log onto CSHWSA </w:t>
      </w:r>
      <w:proofErr w:type="gramStart"/>
      <w:r w:rsidRPr="00C97034">
        <w:rPr>
          <w:rFonts w:ascii="Noto Serif Armenian Light" w:hAnsi="Noto Serif Armenian Light"/>
        </w:rPr>
        <w:t>website;</w:t>
      </w:r>
      <w:proofErr w:type="gramEnd"/>
    </w:p>
    <w:p w14:paraId="4FB32280" w14:textId="77777777" w:rsidR="00C97034" w:rsidRPr="00C97034" w:rsidRDefault="00C97034" w:rsidP="00C97034">
      <w:pPr>
        <w:pStyle w:val="ListParagraph"/>
        <w:numPr>
          <w:ilvl w:val="0"/>
          <w:numId w:val="2"/>
        </w:numPr>
        <w:spacing w:before="0"/>
        <w:ind w:left="720" w:hanging="720"/>
        <w:contextualSpacing w:val="0"/>
        <w:jc w:val="left"/>
        <w:rPr>
          <w:rFonts w:ascii="Noto Serif Armenian Light" w:hAnsi="Noto Serif Armenian Light"/>
        </w:rPr>
      </w:pPr>
      <w:r w:rsidRPr="00C97034">
        <w:rPr>
          <w:rFonts w:ascii="Noto Serif Armenian Light" w:hAnsi="Noto Serif Armenian Light"/>
        </w:rPr>
        <w:t>offer EAP.</w:t>
      </w:r>
    </w:p>
    <w:sectPr w:rsidR="00C97034" w:rsidRPr="00C97034"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0949301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559"/>
                              <w:gridCol w:w="4191"/>
                            </w:tblGrid>
                            <w:tr w:rsidR="00197A7D" w14:paraId="74BB47D5" w14:textId="77777777" w:rsidTr="00C97034">
                              <w:trPr>
                                <w:trHeight w:val="283"/>
                              </w:trPr>
                              <w:tc>
                                <w:tcPr>
                                  <w:tcW w:w="4456" w:type="dxa"/>
                                </w:tcPr>
                                <w:p w14:paraId="27FF6C87" w14:textId="2C8F5E61" w:rsidR="00197A7D" w:rsidRPr="00BE0CAA" w:rsidRDefault="00C97034"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Dealing with Needles/Sharps Guideline (030G)</w:t>
                                  </w:r>
                                </w:p>
                              </w:tc>
                              <w:tc>
                                <w:tcPr>
                                  <w:tcW w:w="1559" w:type="dxa"/>
                                </w:tcPr>
                                <w:p w14:paraId="0CF33310" w14:textId="7777777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4191" w:type="dxa"/>
                                </w:tcPr>
                                <w:p w14:paraId="68FAB33E" w14:textId="6B18E3DB"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C97034">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C97034">
                              <w:trPr>
                                <w:trHeight w:val="283"/>
                              </w:trPr>
                              <w:tc>
                                <w:tcPr>
                                  <w:tcW w:w="4456"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559" w:type="dxa"/>
                                </w:tcPr>
                                <w:p w14:paraId="07B57080" w14:textId="149CD728" w:rsidR="00197A7D" w:rsidRDefault="00C9703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4191"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559"/>
                        <w:gridCol w:w="4191"/>
                      </w:tblGrid>
                      <w:tr w:rsidR="00197A7D" w14:paraId="74BB47D5" w14:textId="77777777" w:rsidTr="00C97034">
                        <w:trPr>
                          <w:trHeight w:val="283"/>
                        </w:trPr>
                        <w:tc>
                          <w:tcPr>
                            <w:tcW w:w="4456" w:type="dxa"/>
                          </w:tcPr>
                          <w:p w14:paraId="27FF6C87" w14:textId="2C8F5E61" w:rsidR="00197A7D" w:rsidRPr="00BE0CAA" w:rsidRDefault="00C97034"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Dealing with Needles/Sharps Guideline (030G)</w:t>
                            </w:r>
                          </w:p>
                        </w:tc>
                        <w:tc>
                          <w:tcPr>
                            <w:tcW w:w="1559" w:type="dxa"/>
                          </w:tcPr>
                          <w:p w14:paraId="0CF33310" w14:textId="77777777"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2</w:t>
                            </w:r>
                          </w:p>
                        </w:tc>
                        <w:tc>
                          <w:tcPr>
                            <w:tcW w:w="4191" w:type="dxa"/>
                          </w:tcPr>
                          <w:p w14:paraId="68FAB33E" w14:textId="6B18E3DB"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C97034">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C97034">
                        <w:trPr>
                          <w:trHeight w:val="283"/>
                        </w:trPr>
                        <w:tc>
                          <w:tcPr>
                            <w:tcW w:w="4456"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559" w:type="dxa"/>
                          </w:tcPr>
                          <w:p w14:paraId="07B57080" w14:textId="149CD728" w:rsidR="00197A7D" w:rsidRDefault="00C9703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2021</w:t>
                            </w:r>
                          </w:p>
                        </w:tc>
                        <w:tc>
                          <w:tcPr>
                            <w:tcW w:w="4191"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E26EE"/>
    <w:multiLevelType w:val="hybridMultilevel"/>
    <w:tmpl w:val="84122222"/>
    <w:lvl w:ilvl="0" w:tplc="0C090001">
      <w:start w:val="1"/>
      <w:numFmt w:val="bullet"/>
      <w:lvlText w:val=""/>
      <w:lvlJc w:val="left"/>
      <w:pPr>
        <w:ind w:left="2157" w:hanging="360"/>
      </w:pPr>
      <w:rPr>
        <w:rFonts w:ascii="Symbol" w:hAnsi="Symbol" w:hint="default"/>
      </w:rPr>
    </w:lvl>
    <w:lvl w:ilvl="1" w:tplc="0C090003" w:tentative="1">
      <w:start w:val="1"/>
      <w:numFmt w:val="bullet"/>
      <w:lvlText w:val="o"/>
      <w:lvlJc w:val="left"/>
      <w:pPr>
        <w:ind w:left="2877" w:hanging="360"/>
      </w:pPr>
      <w:rPr>
        <w:rFonts w:ascii="Courier New" w:hAnsi="Courier New" w:cs="Courier New" w:hint="default"/>
      </w:rPr>
    </w:lvl>
    <w:lvl w:ilvl="2" w:tplc="0C090005" w:tentative="1">
      <w:start w:val="1"/>
      <w:numFmt w:val="bullet"/>
      <w:lvlText w:val=""/>
      <w:lvlJc w:val="left"/>
      <w:pPr>
        <w:ind w:left="3597" w:hanging="360"/>
      </w:pPr>
      <w:rPr>
        <w:rFonts w:ascii="Wingdings" w:hAnsi="Wingdings" w:hint="default"/>
      </w:rPr>
    </w:lvl>
    <w:lvl w:ilvl="3" w:tplc="0C090001" w:tentative="1">
      <w:start w:val="1"/>
      <w:numFmt w:val="bullet"/>
      <w:lvlText w:val=""/>
      <w:lvlJc w:val="left"/>
      <w:pPr>
        <w:ind w:left="4317" w:hanging="360"/>
      </w:pPr>
      <w:rPr>
        <w:rFonts w:ascii="Symbol" w:hAnsi="Symbol" w:hint="default"/>
      </w:rPr>
    </w:lvl>
    <w:lvl w:ilvl="4" w:tplc="0C090003" w:tentative="1">
      <w:start w:val="1"/>
      <w:numFmt w:val="bullet"/>
      <w:lvlText w:val="o"/>
      <w:lvlJc w:val="left"/>
      <w:pPr>
        <w:ind w:left="5037" w:hanging="360"/>
      </w:pPr>
      <w:rPr>
        <w:rFonts w:ascii="Courier New" w:hAnsi="Courier New" w:cs="Courier New" w:hint="default"/>
      </w:rPr>
    </w:lvl>
    <w:lvl w:ilvl="5" w:tplc="0C090005" w:tentative="1">
      <w:start w:val="1"/>
      <w:numFmt w:val="bullet"/>
      <w:lvlText w:val=""/>
      <w:lvlJc w:val="left"/>
      <w:pPr>
        <w:ind w:left="5757" w:hanging="360"/>
      </w:pPr>
      <w:rPr>
        <w:rFonts w:ascii="Wingdings" w:hAnsi="Wingdings" w:hint="default"/>
      </w:rPr>
    </w:lvl>
    <w:lvl w:ilvl="6" w:tplc="0C090001" w:tentative="1">
      <w:start w:val="1"/>
      <w:numFmt w:val="bullet"/>
      <w:lvlText w:val=""/>
      <w:lvlJc w:val="left"/>
      <w:pPr>
        <w:ind w:left="6477" w:hanging="360"/>
      </w:pPr>
      <w:rPr>
        <w:rFonts w:ascii="Symbol" w:hAnsi="Symbol" w:hint="default"/>
      </w:rPr>
    </w:lvl>
    <w:lvl w:ilvl="7" w:tplc="0C090003" w:tentative="1">
      <w:start w:val="1"/>
      <w:numFmt w:val="bullet"/>
      <w:lvlText w:val="o"/>
      <w:lvlJc w:val="left"/>
      <w:pPr>
        <w:ind w:left="7197" w:hanging="360"/>
      </w:pPr>
      <w:rPr>
        <w:rFonts w:ascii="Courier New" w:hAnsi="Courier New" w:cs="Courier New" w:hint="default"/>
      </w:rPr>
    </w:lvl>
    <w:lvl w:ilvl="8" w:tplc="0C090005" w:tentative="1">
      <w:start w:val="1"/>
      <w:numFmt w:val="bullet"/>
      <w:lvlText w:val=""/>
      <w:lvlJc w:val="left"/>
      <w:pPr>
        <w:ind w:left="7917" w:hanging="360"/>
      </w:pPr>
      <w:rPr>
        <w:rFonts w:ascii="Wingdings" w:hAnsi="Wingdings" w:hint="default"/>
      </w:rPr>
    </w:lvl>
  </w:abstractNum>
  <w:abstractNum w:abstractNumId="1" w15:restartNumberingAfterBreak="0">
    <w:nsid w:val="56D73170"/>
    <w:multiLevelType w:val="hybridMultilevel"/>
    <w:tmpl w:val="9A008562"/>
    <w:lvl w:ilvl="0" w:tplc="0C090001">
      <w:start w:val="1"/>
      <w:numFmt w:val="bullet"/>
      <w:lvlText w:val=""/>
      <w:lvlJc w:val="left"/>
      <w:pPr>
        <w:ind w:left="2157" w:hanging="360"/>
      </w:pPr>
      <w:rPr>
        <w:rFonts w:ascii="Symbol" w:hAnsi="Symbol" w:hint="default"/>
      </w:rPr>
    </w:lvl>
    <w:lvl w:ilvl="1" w:tplc="0C090003" w:tentative="1">
      <w:start w:val="1"/>
      <w:numFmt w:val="bullet"/>
      <w:lvlText w:val="o"/>
      <w:lvlJc w:val="left"/>
      <w:pPr>
        <w:ind w:left="2877" w:hanging="360"/>
      </w:pPr>
      <w:rPr>
        <w:rFonts w:ascii="Courier New" w:hAnsi="Courier New" w:cs="Courier New" w:hint="default"/>
      </w:rPr>
    </w:lvl>
    <w:lvl w:ilvl="2" w:tplc="0C090005" w:tentative="1">
      <w:start w:val="1"/>
      <w:numFmt w:val="bullet"/>
      <w:lvlText w:val=""/>
      <w:lvlJc w:val="left"/>
      <w:pPr>
        <w:ind w:left="3597" w:hanging="360"/>
      </w:pPr>
      <w:rPr>
        <w:rFonts w:ascii="Wingdings" w:hAnsi="Wingdings" w:hint="default"/>
      </w:rPr>
    </w:lvl>
    <w:lvl w:ilvl="3" w:tplc="0C090001" w:tentative="1">
      <w:start w:val="1"/>
      <w:numFmt w:val="bullet"/>
      <w:lvlText w:val=""/>
      <w:lvlJc w:val="left"/>
      <w:pPr>
        <w:ind w:left="4317" w:hanging="360"/>
      </w:pPr>
      <w:rPr>
        <w:rFonts w:ascii="Symbol" w:hAnsi="Symbol" w:hint="default"/>
      </w:rPr>
    </w:lvl>
    <w:lvl w:ilvl="4" w:tplc="0C090003" w:tentative="1">
      <w:start w:val="1"/>
      <w:numFmt w:val="bullet"/>
      <w:lvlText w:val="o"/>
      <w:lvlJc w:val="left"/>
      <w:pPr>
        <w:ind w:left="5037" w:hanging="360"/>
      </w:pPr>
      <w:rPr>
        <w:rFonts w:ascii="Courier New" w:hAnsi="Courier New" w:cs="Courier New" w:hint="default"/>
      </w:rPr>
    </w:lvl>
    <w:lvl w:ilvl="5" w:tplc="0C090005" w:tentative="1">
      <w:start w:val="1"/>
      <w:numFmt w:val="bullet"/>
      <w:lvlText w:val=""/>
      <w:lvlJc w:val="left"/>
      <w:pPr>
        <w:ind w:left="5757" w:hanging="360"/>
      </w:pPr>
      <w:rPr>
        <w:rFonts w:ascii="Wingdings" w:hAnsi="Wingdings" w:hint="default"/>
      </w:rPr>
    </w:lvl>
    <w:lvl w:ilvl="6" w:tplc="0C090001" w:tentative="1">
      <w:start w:val="1"/>
      <w:numFmt w:val="bullet"/>
      <w:lvlText w:val=""/>
      <w:lvlJc w:val="left"/>
      <w:pPr>
        <w:ind w:left="6477" w:hanging="360"/>
      </w:pPr>
      <w:rPr>
        <w:rFonts w:ascii="Symbol" w:hAnsi="Symbol" w:hint="default"/>
      </w:rPr>
    </w:lvl>
    <w:lvl w:ilvl="7" w:tplc="0C090003" w:tentative="1">
      <w:start w:val="1"/>
      <w:numFmt w:val="bullet"/>
      <w:lvlText w:val="o"/>
      <w:lvlJc w:val="left"/>
      <w:pPr>
        <w:ind w:left="7197" w:hanging="360"/>
      </w:pPr>
      <w:rPr>
        <w:rFonts w:ascii="Courier New" w:hAnsi="Courier New" w:cs="Courier New" w:hint="default"/>
      </w:rPr>
    </w:lvl>
    <w:lvl w:ilvl="8" w:tplc="0C090005" w:tentative="1">
      <w:start w:val="1"/>
      <w:numFmt w:val="bullet"/>
      <w:lvlText w:val=""/>
      <w:lvlJc w:val="left"/>
      <w:pPr>
        <w:ind w:left="7917" w:hanging="360"/>
      </w:pPr>
      <w:rPr>
        <w:rFonts w:ascii="Wingdings" w:hAnsi="Wingdings" w:hint="default"/>
      </w:rPr>
    </w:lvl>
  </w:abstractNum>
  <w:num w:numId="1" w16cid:durableId="1956210810">
    <w:abstractNumId w:val="0"/>
  </w:num>
  <w:num w:numId="2" w16cid:durableId="6823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20BFC"/>
    <w:rsid w:val="00197A7D"/>
    <w:rsid w:val="0035226C"/>
    <w:rsid w:val="005034BA"/>
    <w:rsid w:val="007C2910"/>
    <w:rsid w:val="00BE0CAA"/>
    <w:rsid w:val="00C97034"/>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7034"/>
    <w:pPr>
      <w:spacing w:before="120" w:after="120" w:line="240" w:lineRule="auto"/>
      <w:ind w:left="720"/>
      <w:contextualSpacing/>
      <w:jc w:val="center"/>
    </w:pPr>
    <w:rPr>
      <w:rFonts w:ascii="Arial" w:hAnsi="Arial" w:cs="Arial"/>
      <w:kern w:val="0"/>
      <w:szCs w:val="20"/>
      <w14:ligatures w14:val="none"/>
    </w:rPr>
  </w:style>
  <w:style w:type="character" w:customStyle="1" w:styleId="ListParagraphChar">
    <w:name w:val="List Paragraph Char"/>
    <w:basedOn w:val="DefaultParagraphFont"/>
    <w:link w:val="ListParagraph"/>
    <w:uiPriority w:val="34"/>
    <w:rsid w:val="00C97034"/>
    <w:rPr>
      <w:rFonts w:ascii="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2579</Characters>
  <Application>Microsoft Office Word</Application>
  <DocSecurity>4</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2</cp:revision>
  <dcterms:created xsi:type="dcterms:W3CDTF">2023-12-13T01:08:00Z</dcterms:created>
  <dcterms:modified xsi:type="dcterms:W3CDTF">2023-12-13T01:08:00Z</dcterms:modified>
</cp:coreProperties>
</file>