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D54AA" w14:textId="53B2D847" w:rsidR="0035226C" w:rsidRPr="009C4AA8" w:rsidRDefault="009A3F4E" w:rsidP="00BE0CAA">
      <w:pPr>
        <w:jc w:val="center"/>
        <w:rPr>
          <w:rFonts w:ascii="Noto Serif Armenian Light" w:hAnsi="Noto Serif Armenian Light"/>
          <w:b/>
          <w:bCs/>
          <w:color w:val="533E7C" w:themeColor="accent1"/>
          <w:sz w:val="32"/>
          <w:szCs w:val="32"/>
        </w:rPr>
      </w:pPr>
      <w:r w:rsidRPr="009C4AA8">
        <w:rPr>
          <w:rFonts w:ascii="Noto Serif Armenian Light" w:hAnsi="Noto Serif Armenian Light"/>
          <w:b/>
          <w:bCs/>
          <w:color w:val="533E7C" w:themeColor="accent1"/>
          <w:sz w:val="32"/>
          <w:szCs w:val="32"/>
        </w:rPr>
        <w:t>Emergency Shower &amp; Eyewash Guidelines</w:t>
      </w:r>
    </w:p>
    <w:p w14:paraId="0E822ADA" w14:textId="77777777" w:rsidR="009A3F4E" w:rsidRPr="009C4AA8" w:rsidRDefault="009A3F4E" w:rsidP="009A3F4E">
      <w:pPr>
        <w:rPr>
          <w:b/>
          <w:u w:val="single"/>
        </w:rPr>
      </w:pPr>
      <w:r w:rsidRPr="009C4AA8">
        <w:rPr>
          <w:b/>
          <w:u w:val="single"/>
        </w:rPr>
        <w:t>KEY ASPECTS OF EMERGENCY SHOWER / EYEWASH UNITS</w:t>
      </w:r>
    </w:p>
    <w:p w14:paraId="32B2AADD" w14:textId="77777777" w:rsidR="009A3F4E" w:rsidRPr="009C4AA8" w:rsidRDefault="009A3F4E" w:rsidP="009A3F4E">
      <w:pPr>
        <w:pStyle w:val="ListParagraph"/>
        <w:numPr>
          <w:ilvl w:val="0"/>
          <w:numId w:val="1"/>
        </w:numPr>
        <w:rPr>
          <w:rFonts w:ascii="Work Sans" w:hAnsi="Work Sans"/>
        </w:rPr>
      </w:pPr>
      <w:r w:rsidRPr="009C4AA8">
        <w:rPr>
          <w:rFonts w:ascii="Work Sans" w:hAnsi="Work Sans"/>
        </w:rPr>
        <w:t>Emergency Shower / Eyewash units are to be located a maximum of 10 seconds travel to them from any area where substances are used that if contact with a person occurs, would require the use of emergency facilities.</w:t>
      </w:r>
    </w:p>
    <w:p w14:paraId="0B51A692" w14:textId="77777777" w:rsidR="009A3F4E" w:rsidRPr="009C4AA8" w:rsidRDefault="009A3F4E" w:rsidP="009A3F4E">
      <w:pPr>
        <w:pStyle w:val="ListParagraph"/>
        <w:numPr>
          <w:ilvl w:val="0"/>
          <w:numId w:val="1"/>
        </w:numPr>
        <w:rPr>
          <w:rFonts w:ascii="Work Sans" w:hAnsi="Work Sans"/>
        </w:rPr>
      </w:pPr>
      <w:r w:rsidRPr="009C4AA8">
        <w:rPr>
          <w:rFonts w:ascii="Work Sans" w:hAnsi="Work Sans"/>
        </w:rPr>
        <w:t>If travel time to an emergency shower / eyewash is greater than 10 seconds, then in room facilities will be required e.g. tap with flexible hose and emergency eyewash bottles/station (refer examples below).</w:t>
      </w:r>
    </w:p>
    <w:p w14:paraId="566FF10D" w14:textId="216B6383" w:rsidR="009A3F4E" w:rsidRPr="009C4AA8" w:rsidRDefault="009A3F4E" w:rsidP="009A3F4E">
      <w:pPr>
        <w:pStyle w:val="ListParagraph"/>
        <w:numPr>
          <w:ilvl w:val="0"/>
          <w:numId w:val="1"/>
        </w:numPr>
        <w:rPr>
          <w:rFonts w:ascii="Work Sans" w:hAnsi="Work Sans"/>
        </w:rPr>
      </w:pPr>
      <w:r w:rsidRPr="009C4AA8">
        <w:rPr>
          <w:rFonts w:ascii="Work Sans" w:hAnsi="Work Sans"/>
        </w:rPr>
        <w:t xml:space="preserve">Emergency Showers / Eyewash units are to be inspected and tested </w:t>
      </w:r>
      <w:r w:rsidRPr="009C4AA8">
        <w:rPr>
          <w:rFonts w:ascii="Work Sans" w:hAnsi="Work Sans"/>
          <w:b/>
        </w:rPr>
        <w:t>monthly</w:t>
      </w:r>
      <w:r w:rsidRPr="009C4AA8">
        <w:rPr>
          <w:rFonts w:ascii="Work Sans" w:hAnsi="Work Sans"/>
        </w:rPr>
        <w:t>. (</w:t>
      </w:r>
      <w:r w:rsidR="00C7655D" w:rsidRPr="009C4AA8">
        <w:rPr>
          <w:rFonts w:ascii="Work Sans" w:hAnsi="Work Sans"/>
        </w:rPr>
        <w:t>CSaIM</w:t>
      </w:r>
      <w:r w:rsidRPr="009C4AA8">
        <w:rPr>
          <w:rFonts w:ascii="Work Sans" w:hAnsi="Work Sans"/>
        </w:rPr>
        <w:t xml:space="preserve"> have undertaken assessment and determined that the weekly checks can be done </w:t>
      </w:r>
      <w:proofErr w:type="gramStart"/>
      <w:r w:rsidRPr="009C4AA8">
        <w:rPr>
          <w:rFonts w:ascii="Work Sans" w:hAnsi="Work Sans"/>
        </w:rPr>
        <w:t>monthly</w:t>
      </w:r>
      <w:proofErr w:type="gramEnd"/>
      <w:r w:rsidRPr="009C4AA8">
        <w:rPr>
          <w:rFonts w:ascii="Work Sans" w:hAnsi="Work Sans"/>
        </w:rPr>
        <w:t xml:space="preserve"> and this timeframe is reasonable).</w:t>
      </w:r>
    </w:p>
    <w:p w14:paraId="1F7F5A8A" w14:textId="6365DA8B" w:rsidR="009A3F4E" w:rsidRPr="009C4AA8" w:rsidRDefault="009A3F4E" w:rsidP="009A3F4E">
      <w:pPr>
        <w:pStyle w:val="ListParagraph"/>
        <w:numPr>
          <w:ilvl w:val="0"/>
          <w:numId w:val="1"/>
        </w:numPr>
        <w:rPr>
          <w:rFonts w:ascii="Work Sans" w:hAnsi="Work Sans"/>
        </w:rPr>
      </w:pPr>
      <w:r w:rsidRPr="009C4AA8">
        <w:rPr>
          <w:rFonts w:ascii="Work Sans" w:hAnsi="Work Sans"/>
        </w:rPr>
        <w:t xml:space="preserve">Monthly testing is to be recorded on the </w:t>
      </w:r>
      <w:hyperlink r:id="rId8" w:history="1">
        <w:r w:rsidRPr="009C4AA8">
          <w:rPr>
            <w:rStyle w:val="Hyperlink"/>
            <w:rFonts w:ascii="Work Sans" w:hAnsi="Work Sans"/>
            <w:b/>
          </w:rPr>
          <w:t>Safety Shower &amp; Eyewash Testing Form (060F)</w:t>
        </w:r>
      </w:hyperlink>
      <w:r w:rsidRPr="009C4AA8">
        <w:rPr>
          <w:rStyle w:val="Hyperlink"/>
          <w:rFonts w:ascii="Work Sans" w:hAnsi="Work Sans"/>
          <w:b/>
        </w:rPr>
        <w:t xml:space="preserve"> </w:t>
      </w:r>
      <w:r w:rsidRPr="009C4AA8">
        <w:rPr>
          <w:rFonts w:ascii="Work Sans" w:hAnsi="Work Sans"/>
        </w:rPr>
        <w:t>or equivalent, including name and signature of the tester.</w:t>
      </w:r>
    </w:p>
    <w:p w14:paraId="73C1194D" w14:textId="77777777" w:rsidR="009A3F4E" w:rsidRPr="009C4AA8" w:rsidRDefault="009A3F4E" w:rsidP="009A3F4E">
      <w:pPr>
        <w:pStyle w:val="ListParagraph"/>
        <w:numPr>
          <w:ilvl w:val="0"/>
          <w:numId w:val="1"/>
        </w:numPr>
        <w:rPr>
          <w:rFonts w:ascii="Work Sans" w:hAnsi="Work Sans"/>
        </w:rPr>
      </w:pPr>
      <w:r w:rsidRPr="009C4AA8">
        <w:rPr>
          <w:rFonts w:ascii="Work Sans" w:hAnsi="Work Sans"/>
        </w:rPr>
        <w:t xml:space="preserve">Plumbed Emergency Showers / Eyewash units are to be inspected and tested </w:t>
      </w:r>
      <w:r w:rsidRPr="009C4AA8">
        <w:rPr>
          <w:rFonts w:ascii="Work Sans" w:hAnsi="Work Sans"/>
          <w:b/>
        </w:rPr>
        <w:t>yearly</w:t>
      </w:r>
      <w:r w:rsidRPr="009C4AA8">
        <w:rPr>
          <w:rFonts w:ascii="Work Sans" w:hAnsi="Work Sans"/>
        </w:rPr>
        <w:t xml:space="preserve"> (flow test). This can be done by a competent person. An annual test record tag (example below) must be affixed to plumbed emergency shower / eyewash units to record the yearly flow tests.</w:t>
      </w:r>
    </w:p>
    <w:p w14:paraId="51F48F84" w14:textId="77777777" w:rsidR="009A3F4E" w:rsidRPr="009C4AA8" w:rsidRDefault="009A3F4E" w:rsidP="009A3F4E">
      <w:pPr>
        <w:jc w:val="center"/>
        <w:rPr>
          <w:b/>
          <w:u w:val="single"/>
        </w:rPr>
      </w:pPr>
      <w:r w:rsidRPr="009C4AA8">
        <w:rPr>
          <w:noProof/>
          <w:lang w:eastAsia="en-AU"/>
        </w:rPr>
        <w:drawing>
          <wp:anchor distT="0" distB="0" distL="114300" distR="114300" simplePos="0" relativeHeight="251659264" behindDoc="0" locked="0" layoutInCell="1" allowOverlap="1" wp14:anchorId="55C96C17" wp14:editId="2B449742">
            <wp:simplePos x="0" y="0"/>
            <wp:positionH relativeFrom="margin">
              <wp:align>center</wp:align>
            </wp:positionH>
            <wp:positionV relativeFrom="paragraph">
              <wp:posOffset>262890</wp:posOffset>
            </wp:positionV>
            <wp:extent cx="1771650" cy="1870710"/>
            <wp:effectExtent l="0" t="0" r="0" b="0"/>
            <wp:wrapThrough wrapText="bothSides">
              <wp:wrapPolygon edited="0">
                <wp:start x="0" y="0"/>
                <wp:lineTo x="0" y="21336"/>
                <wp:lineTo x="21368" y="21336"/>
                <wp:lineTo x="21368" y="0"/>
                <wp:lineTo x="0" y="0"/>
              </wp:wrapPolygon>
            </wp:wrapThrough>
            <wp:docPr id="5" name="Picture 5" descr="A green and white test rec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and white test recor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1870710"/>
                    </a:xfrm>
                    <a:prstGeom prst="rect">
                      <a:avLst/>
                    </a:prstGeom>
                    <a:noFill/>
                  </pic:spPr>
                </pic:pic>
              </a:graphicData>
            </a:graphic>
            <wp14:sizeRelH relativeFrom="margin">
              <wp14:pctWidth>0</wp14:pctWidth>
            </wp14:sizeRelH>
            <wp14:sizeRelV relativeFrom="margin">
              <wp14:pctHeight>0</wp14:pctHeight>
            </wp14:sizeRelV>
          </wp:anchor>
        </w:drawing>
      </w:r>
      <w:r w:rsidRPr="009C4AA8">
        <w:rPr>
          <w:b/>
          <w:u w:val="single"/>
        </w:rPr>
        <w:t>Annual Flow Test Record Card Example</w:t>
      </w:r>
    </w:p>
    <w:p w14:paraId="2E328E33" w14:textId="77777777" w:rsidR="009A3F4E" w:rsidRPr="009C4AA8" w:rsidRDefault="009A3F4E" w:rsidP="009A3F4E">
      <w:pPr>
        <w:rPr>
          <w:b/>
          <w:u w:val="single"/>
        </w:rPr>
      </w:pPr>
    </w:p>
    <w:p w14:paraId="64860CCC" w14:textId="77777777" w:rsidR="009A3F4E" w:rsidRPr="009C4AA8" w:rsidRDefault="009A3F4E" w:rsidP="009A3F4E">
      <w:pPr>
        <w:rPr>
          <w:b/>
          <w:u w:val="single"/>
        </w:rPr>
      </w:pPr>
    </w:p>
    <w:p w14:paraId="05A5D8E3" w14:textId="77777777" w:rsidR="009A3F4E" w:rsidRPr="009C4AA8" w:rsidRDefault="009A3F4E" w:rsidP="009A3F4E">
      <w:pPr>
        <w:rPr>
          <w:b/>
          <w:u w:val="single"/>
        </w:rPr>
      </w:pPr>
    </w:p>
    <w:p w14:paraId="467E29B9" w14:textId="77777777" w:rsidR="009A3F4E" w:rsidRPr="009C4AA8" w:rsidRDefault="009A3F4E" w:rsidP="009A3F4E">
      <w:pPr>
        <w:rPr>
          <w:b/>
          <w:u w:val="single"/>
        </w:rPr>
      </w:pPr>
    </w:p>
    <w:p w14:paraId="71136CF4" w14:textId="77777777" w:rsidR="009A3F4E" w:rsidRPr="009C4AA8" w:rsidRDefault="009A3F4E" w:rsidP="009A3F4E">
      <w:pPr>
        <w:rPr>
          <w:b/>
          <w:u w:val="single"/>
        </w:rPr>
      </w:pPr>
    </w:p>
    <w:p w14:paraId="1147C92D" w14:textId="77777777" w:rsidR="009A3F4E" w:rsidRPr="009C4AA8" w:rsidRDefault="009A3F4E" w:rsidP="009A3F4E">
      <w:pPr>
        <w:rPr>
          <w:b/>
          <w:u w:val="single"/>
        </w:rPr>
      </w:pPr>
    </w:p>
    <w:p w14:paraId="09FD72A2" w14:textId="77777777" w:rsidR="009A3F4E" w:rsidRPr="009C4AA8" w:rsidRDefault="009A3F4E" w:rsidP="009A3F4E">
      <w:pPr>
        <w:rPr>
          <w:b/>
          <w:u w:val="single"/>
        </w:rPr>
      </w:pPr>
    </w:p>
    <w:p w14:paraId="5B235591" w14:textId="77777777" w:rsidR="009A3F4E" w:rsidRPr="009C4AA8" w:rsidRDefault="009A3F4E" w:rsidP="009A3F4E">
      <w:pPr>
        <w:rPr>
          <w:b/>
          <w:u w:val="single"/>
        </w:rPr>
      </w:pPr>
    </w:p>
    <w:p w14:paraId="759675A9" w14:textId="46CE8F31" w:rsidR="009A3F4E" w:rsidRPr="009C4AA8" w:rsidRDefault="009A3F4E" w:rsidP="009A3F4E">
      <w:pPr>
        <w:rPr>
          <w:b/>
          <w:u w:val="single"/>
        </w:rPr>
      </w:pPr>
      <w:r w:rsidRPr="009C4AA8">
        <w:tab/>
      </w:r>
      <w:r w:rsidRPr="009C4AA8">
        <w:rPr>
          <w:b/>
          <w:u w:val="single"/>
        </w:rPr>
        <w:t xml:space="preserve">Portable Emergency Eyewash </w:t>
      </w:r>
      <w:r w:rsidRPr="009C4AA8">
        <w:rPr>
          <w:b/>
        </w:rPr>
        <w:tab/>
      </w:r>
      <w:r w:rsidRPr="009C4AA8">
        <w:rPr>
          <w:b/>
        </w:rPr>
        <w:tab/>
      </w:r>
      <w:r w:rsidRPr="009C4AA8">
        <w:rPr>
          <w:b/>
        </w:rPr>
        <w:tab/>
      </w:r>
      <w:r w:rsidRPr="009C4AA8">
        <w:rPr>
          <w:b/>
          <w:u w:val="single"/>
        </w:rPr>
        <w:t>Sink with Flexible Hose</w:t>
      </w:r>
    </w:p>
    <w:p w14:paraId="40514796" w14:textId="3C73975E" w:rsidR="009A3F4E" w:rsidRPr="009C4AA8" w:rsidRDefault="009A3F4E" w:rsidP="009A3F4E">
      <w:pPr>
        <w:rPr>
          <w:b/>
          <w:u w:val="single"/>
        </w:rPr>
      </w:pPr>
      <w:r w:rsidRPr="009C4AA8">
        <w:rPr>
          <w:noProof/>
          <w:lang w:eastAsia="en-AU"/>
        </w:rPr>
        <w:drawing>
          <wp:anchor distT="0" distB="0" distL="114300" distR="114300" simplePos="0" relativeHeight="251663360" behindDoc="0" locked="0" layoutInCell="1" allowOverlap="1" wp14:anchorId="016B7DD8" wp14:editId="13C78A28">
            <wp:simplePos x="0" y="0"/>
            <wp:positionH relativeFrom="margin">
              <wp:posOffset>330200</wp:posOffset>
            </wp:positionH>
            <wp:positionV relativeFrom="paragraph">
              <wp:posOffset>3175</wp:posOffset>
            </wp:positionV>
            <wp:extent cx="1960245" cy="1949450"/>
            <wp:effectExtent l="0" t="0" r="1905" b="0"/>
            <wp:wrapThrough wrapText="bothSides">
              <wp:wrapPolygon edited="0">
                <wp:start x="0" y="0"/>
                <wp:lineTo x="0" y="21319"/>
                <wp:lineTo x="21411" y="21319"/>
                <wp:lineTo x="21411"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60245" cy="1949450"/>
                    </a:xfrm>
                    <a:prstGeom prst="rect">
                      <a:avLst/>
                    </a:prstGeom>
                  </pic:spPr>
                </pic:pic>
              </a:graphicData>
            </a:graphic>
            <wp14:sizeRelH relativeFrom="margin">
              <wp14:pctWidth>0</wp14:pctWidth>
            </wp14:sizeRelH>
            <wp14:sizeRelV relativeFrom="margin">
              <wp14:pctHeight>0</wp14:pctHeight>
            </wp14:sizeRelV>
          </wp:anchor>
        </w:drawing>
      </w:r>
      <w:r w:rsidRPr="009C4AA8">
        <w:rPr>
          <w:b/>
          <w:noProof/>
          <w:u w:val="single"/>
          <w:lang w:eastAsia="en-AU"/>
        </w:rPr>
        <w:drawing>
          <wp:anchor distT="0" distB="0" distL="114300" distR="114300" simplePos="0" relativeHeight="251664384" behindDoc="0" locked="0" layoutInCell="1" allowOverlap="1" wp14:anchorId="690BED55" wp14:editId="099CC231">
            <wp:simplePos x="0" y="0"/>
            <wp:positionH relativeFrom="column">
              <wp:posOffset>3299460</wp:posOffset>
            </wp:positionH>
            <wp:positionV relativeFrom="paragraph">
              <wp:posOffset>55245</wp:posOffset>
            </wp:positionV>
            <wp:extent cx="2120900" cy="1471295"/>
            <wp:effectExtent l="0" t="0" r="0" b="0"/>
            <wp:wrapThrough wrapText="bothSides">
              <wp:wrapPolygon edited="0">
                <wp:start x="0" y="0"/>
                <wp:lineTo x="0" y="21255"/>
                <wp:lineTo x="21341" y="21255"/>
                <wp:lineTo x="21341"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20900" cy="1471295"/>
                    </a:xfrm>
                    <a:prstGeom prst="rect">
                      <a:avLst/>
                    </a:prstGeom>
                  </pic:spPr>
                </pic:pic>
              </a:graphicData>
            </a:graphic>
            <wp14:sizeRelH relativeFrom="margin">
              <wp14:pctWidth>0</wp14:pctWidth>
            </wp14:sizeRelH>
            <wp14:sizeRelV relativeFrom="margin">
              <wp14:pctHeight>0</wp14:pctHeight>
            </wp14:sizeRelV>
          </wp:anchor>
        </w:drawing>
      </w:r>
    </w:p>
    <w:p w14:paraId="09340A35" w14:textId="77777777" w:rsidR="009A3F4E" w:rsidRPr="009C4AA8" w:rsidRDefault="009A3F4E" w:rsidP="009A3F4E">
      <w:pPr>
        <w:rPr>
          <w:b/>
          <w:u w:val="single"/>
        </w:rPr>
      </w:pPr>
    </w:p>
    <w:p w14:paraId="2C783606" w14:textId="77777777" w:rsidR="009A3F4E" w:rsidRPr="009C4AA8" w:rsidRDefault="009A3F4E" w:rsidP="009A3F4E">
      <w:pPr>
        <w:rPr>
          <w:b/>
          <w:u w:val="single"/>
        </w:rPr>
      </w:pPr>
    </w:p>
    <w:p w14:paraId="1ABD4273" w14:textId="77777777" w:rsidR="009A3F4E" w:rsidRPr="009C4AA8" w:rsidRDefault="009A3F4E" w:rsidP="009A3F4E">
      <w:pPr>
        <w:rPr>
          <w:b/>
          <w:u w:val="single"/>
        </w:rPr>
      </w:pPr>
    </w:p>
    <w:p w14:paraId="69AAE714" w14:textId="77777777" w:rsidR="009A3F4E" w:rsidRPr="009C4AA8" w:rsidRDefault="009A3F4E" w:rsidP="009A3F4E">
      <w:pPr>
        <w:rPr>
          <w:b/>
          <w:u w:val="single"/>
        </w:rPr>
      </w:pPr>
    </w:p>
    <w:p w14:paraId="5C6FD809" w14:textId="77777777" w:rsidR="009A3F4E" w:rsidRPr="009C4AA8" w:rsidRDefault="009A3F4E" w:rsidP="009A3F4E">
      <w:pPr>
        <w:rPr>
          <w:b/>
          <w:u w:val="single"/>
        </w:rPr>
      </w:pPr>
    </w:p>
    <w:p w14:paraId="68CC27ED" w14:textId="77777777" w:rsidR="009A3F4E" w:rsidRPr="009C4AA8" w:rsidRDefault="009A3F4E" w:rsidP="009A3F4E">
      <w:pPr>
        <w:rPr>
          <w:b/>
          <w:u w:val="single"/>
        </w:rPr>
      </w:pPr>
    </w:p>
    <w:p w14:paraId="59AC7BFD" w14:textId="77777777" w:rsidR="009A3F4E" w:rsidRPr="009C4AA8" w:rsidRDefault="009A3F4E" w:rsidP="009A3F4E">
      <w:pPr>
        <w:rPr>
          <w:b/>
          <w:u w:val="single"/>
        </w:rPr>
      </w:pPr>
      <w:r w:rsidRPr="009C4AA8">
        <w:rPr>
          <w:b/>
          <w:u w:val="single"/>
        </w:rPr>
        <w:lastRenderedPageBreak/>
        <w:t>MONTHY TESTING</w:t>
      </w:r>
    </w:p>
    <w:p w14:paraId="491D7E10" w14:textId="77777777" w:rsidR="009A3F4E" w:rsidRPr="009C4AA8" w:rsidRDefault="009A3F4E" w:rsidP="009A3F4E">
      <w:pPr>
        <w:pStyle w:val="ListParagraph"/>
        <w:numPr>
          <w:ilvl w:val="0"/>
          <w:numId w:val="2"/>
        </w:numPr>
        <w:rPr>
          <w:rFonts w:ascii="Work Sans" w:hAnsi="Work Sans"/>
        </w:rPr>
      </w:pPr>
      <w:r w:rsidRPr="009C4AA8">
        <w:rPr>
          <w:rFonts w:ascii="Work Sans" w:hAnsi="Work Sans"/>
        </w:rPr>
        <w:t>Routine inspections / tests are most effectively conducted by 2 persons.</w:t>
      </w:r>
    </w:p>
    <w:p w14:paraId="18CE4C6D" w14:textId="7EC3FBE3" w:rsidR="00C7655D" w:rsidRPr="009C4AA8" w:rsidRDefault="009A3F4E" w:rsidP="009A3F4E">
      <w:pPr>
        <w:pStyle w:val="ListParagraph"/>
        <w:numPr>
          <w:ilvl w:val="0"/>
          <w:numId w:val="2"/>
        </w:numPr>
        <w:rPr>
          <w:rStyle w:val="Hyperlink"/>
          <w:rFonts w:ascii="Work Sans" w:hAnsi="Work Sans"/>
          <w:color w:val="auto"/>
          <w:u w:val="none"/>
        </w:rPr>
      </w:pPr>
      <w:r w:rsidRPr="009C4AA8">
        <w:rPr>
          <w:rFonts w:ascii="Work Sans" w:hAnsi="Work Sans"/>
        </w:rPr>
        <w:t xml:space="preserve">Testing should use </w:t>
      </w:r>
      <w:hyperlink r:id="rId12" w:history="1">
        <w:r w:rsidR="009C4AA8">
          <w:rPr>
            <w:rStyle w:val="Hyperlink"/>
            <w:rFonts w:ascii="Work Sans" w:hAnsi="Work Sans"/>
            <w:b/>
          </w:rPr>
          <w:t>Safety Shower &amp; Eyewash Testing Form (060F)</w:t>
        </w:r>
      </w:hyperlink>
      <w:r w:rsidR="00C7655D" w:rsidRPr="009C4AA8">
        <w:rPr>
          <w:rStyle w:val="Hyperlink"/>
          <w:rFonts w:ascii="Work Sans" w:hAnsi="Work Sans"/>
          <w:bCs/>
          <w:color w:val="auto"/>
          <w:u w:val="none"/>
        </w:rPr>
        <w:t xml:space="preserve"> (or equivalent)</w:t>
      </w:r>
    </w:p>
    <w:p w14:paraId="0B7A0DE6" w14:textId="3D56C225" w:rsidR="009A3F4E" w:rsidRPr="009C4AA8" w:rsidRDefault="009A3F4E" w:rsidP="009A3F4E">
      <w:pPr>
        <w:pStyle w:val="ListParagraph"/>
        <w:numPr>
          <w:ilvl w:val="0"/>
          <w:numId w:val="2"/>
        </w:numPr>
        <w:rPr>
          <w:rFonts w:ascii="Work Sans" w:hAnsi="Work Sans"/>
        </w:rPr>
      </w:pPr>
      <w:r w:rsidRPr="009C4AA8">
        <w:rPr>
          <w:rFonts w:ascii="Work Sans" w:hAnsi="Work Sans"/>
        </w:rPr>
        <w:t>Sites should purchase a tester sock (refer examples below) to undertake the monthly testing.</w:t>
      </w:r>
    </w:p>
    <w:p w14:paraId="6473DB1D" w14:textId="77777777" w:rsidR="009A3F4E" w:rsidRPr="009C4AA8" w:rsidRDefault="009A3F4E" w:rsidP="009A3F4E">
      <w:pPr>
        <w:pStyle w:val="ListParagraph"/>
        <w:numPr>
          <w:ilvl w:val="0"/>
          <w:numId w:val="2"/>
        </w:numPr>
        <w:rPr>
          <w:rFonts w:ascii="Work Sans" w:hAnsi="Work Sans"/>
        </w:rPr>
      </w:pPr>
      <w:r w:rsidRPr="009C4AA8">
        <w:rPr>
          <w:rFonts w:ascii="Work Sans" w:hAnsi="Work Sans"/>
        </w:rPr>
        <w:t>Shower / eyewash is to be activated for a period long enough to verify operation and ensure water is available and clean (minimum 3 seconds). If water is not clear, continue operation until water is clear. This flushing helps clean out any rust, scale deposits, or bacteria that may accumulate and cause additional injury, along with ensuring the regular operation of mechanical valves.</w:t>
      </w:r>
    </w:p>
    <w:p w14:paraId="4BA9C7F8" w14:textId="77777777" w:rsidR="009A3F4E" w:rsidRPr="009C4AA8" w:rsidRDefault="009A3F4E" w:rsidP="009A3F4E">
      <w:pPr>
        <w:pStyle w:val="ListParagraph"/>
        <w:numPr>
          <w:ilvl w:val="0"/>
          <w:numId w:val="2"/>
        </w:numPr>
        <w:rPr>
          <w:rFonts w:ascii="Work Sans" w:hAnsi="Work Sans"/>
        </w:rPr>
      </w:pPr>
      <w:r w:rsidRPr="009C4AA8">
        <w:rPr>
          <w:rFonts w:ascii="Work Sans" w:hAnsi="Work Sans"/>
        </w:rPr>
        <w:t xml:space="preserve">When testing the eyewash, ensure dust caps are in place and when operated </w:t>
      </w:r>
      <w:proofErr w:type="gramStart"/>
      <w:r w:rsidRPr="009C4AA8">
        <w:rPr>
          <w:rFonts w:ascii="Work Sans" w:hAnsi="Work Sans"/>
        </w:rPr>
        <w:t>these pop</w:t>
      </w:r>
      <w:proofErr w:type="gramEnd"/>
      <w:r w:rsidRPr="009C4AA8">
        <w:rPr>
          <w:rFonts w:ascii="Work Sans" w:hAnsi="Work Sans"/>
        </w:rPr>
        <w:t xml:space="preserve"> off with the flow of water.</w:t>
      </w:r>
    </w:p>
    <w:p w14:paraId="4B69462A" w14:textId="7568E257" w:rsidR="009A3F4E" w:rsidRPr="009C4AA8" w:rsidRDefault="009A3F4E" w:rsidP="009A3F4E">
      <w:pPr>
        <w:pStyle w:val="ListParagraph"/>
        <w:numPr>
          <w:ilvl w:val="0"/>
          <w:numId w:val="1"/>
        </w:numPr>
        <w:rPr>
          <w:rFonts w:ascii="Work Sans" w:hAnsi="Work Sans"/>
        </w:rPr>
      </w:pPr>
      <w:r w:rsidRPr="009C4AA8">
        <w:rPr>
          <w:rFonts w:ascii="Work Sans" w:hAnsi="Work Sans"/>
        </w:rPr>
        <w:t xml:space="preserve">Aside from the operation of the equipment (water flow), checks need to include overall condition, signage, unobstructed access refer </w:t>
      </w:r>
      <w:hyperlink r:id="rId13" w:history="1">
        <w:r w:rsidR="009C4AA8">
          <w:rPr>
            <w:rStyle w:val="Hyperlink"/>
            <w:rFonts w:ascii="Work Sans" w:hAnsi="Work Sans"/>
            <w:b/>
          </w:rPr>
          <w:t>Safety Shower &amp; Eyewash Testing Form (060F)</w:t>
        </w:r>
      </w:hyperlink>
      <w:r w:rsidR="009C4AA8" w:rsidRPr="009C4AA8">
        <w:rPr>
          <w:rStyle w:val="Hyperlink"/>
          <w:rFonts w:ascii="Work Sans" w:hAnsi="Work Sans"/>
          <w:bCs/>
          <w:color w:val="auto"/>
          <w:u w:val="none"/>
        </w:rPr>
        <w:t xml:space="preserve"> (or equivalent)</w:t>
      </w:r>
      <w:r w:rsidR="009C4AA8">
        <w:rPr>
          <w:rStyle w:val="Hyperlink"/>
          <w:rFonts w:ascii="Work Sans" w:hAnsi="Work Sans"/>
          <w:bCs/>
          <w:color w:val="auto"/>
          <w:u w:val="none"/>
        </w:rPr>
        <w:t>.</w:t>
      </w:r>
    </w:p>
    <w:p w14:paraId="20B5A7A1" w14:textId="77777777" w:rsidR="009A3F4E" w:rsidRPr="009C4AA8" w:rsidRDefault="009A3F4E" w:rsidP="009A3F4E">
      <w:pPr>
        <w:pStyle w:val="ListParagraph"/>
        <w:numPr>
          <w:ilvl w:val="0"/>
          <w:numId w:val="2"/>
        </w:numPr>
        <w:rPr>
          <w:rFonts w:ascii="Work Sans" w:hAnsi="Work Sans"/>
        </w:rPr>
      </w:pPr>
      <w:r w:rsidRPr="009C4AA8">
        <w:rPr>
          <w:rFonts w:ascii="Work Sans" w:hAnsi="Work Sans"/>
        </w:rPr>
        <w:t>If the shower / eyewash station fails to operate, water flow is intermittent or if defective apparatus is found during the test, action is to be taken to have the problems fixed as a matter of priority. Tag the shower/eyewash station as ‘Out of Service’ and notify the relevant site person.</w:t>
      </w:r>
    </w:p>
    <w:p w14:paraId="73EC9451" w14:textId="77777777" w:rsidR="009A3F4E" w:rsidRPr="009C4AA8" w:rsidRDefault="009A3F4E" w:rsidP="009A3F4E">
      <w:pPr>
        <w:pStyle w:val="ListParagraph"/>
        <w:numPr>
          <w:ilvl w:val="0"/>
          <w:numId w:val="2"/>
        </w:numPr>
        <w:rPr>
          <w:rFonts w:ascii="Work Sans" w:hAnsi="Work Sans"/>
        </w:rPr>
      </w:pPr>
      <w:r w:rsidRPr="009C4AA8">
        <w:rPr>
          <w:rFonts w:ascii="Work Sans" w:hAnsi="Work Sans"/>
        </w:rPr>
        <w:t>Ensure any spills are cleaned up.</w:t>
      </w:r>
    </w:p>
    <w:p w14:paraId="5602D68B" w14:textId="3A610B0D" w:rsidR="009A3F4E" w:rsidRPr="009C4AA8" w:rsidRDefault="009A3F4E" w:rsidP="009A3F4E">
      <w:pPr>
        <w:pStyle w:val="ListParagraph"/>
        <w:numPr>
          <w:ilvl w:val="0"/>
          <w:numId w:val="2"/>
        </w:numPr>
        <w:rPr>
          <w:rFonts w:ascii="Work Sans" w:hAnsi="Work Sans"/>
        </w:rPr>
      </w:pPr>
      <w:r w:rsidRPr="009C4AA8">
        <w:rPr>
          <w:rFonts w:ascii="Work Sans" w:hAnsi="Work Sans"/>
        </w:rPr>
        <w:t xml:space="preserve">Record your inspection/test on </w:t>
      </w:r>
      <w:hyperlink r:id="rId14" w:history="1">
        <w:r w:rsidR="009C4AA8">
          <w:rPr>
            <w:rStyle w:val="Hyperlink"/>
            <w:rFonts w:ascii="Work Sans" w:hAnsi="Work Sans"/>
            <w:b/>
          </w:rPr>
          <w:t>Safety Shower &amp; Eyewash Testing Form (060F)</w:t>
        </w:r>
      </w:hyperlink>
      <w:r w:rsidR="009C4AA8" w:rsidRPr="009C4AA8">
        <w:rPr>
          <w:rStyle w:val="Hyperlink"/>
          <w:rFonts w:ascii="Work Sans" w:hAnsi="Work Sans"/>
          <w:bCs/>
          <w:color w:val="auto"/>
          <w:u w:val="none"/>
        </w:rPr>
        <w:t xml:space="preserve"> (or equivalent)</w:t>
      </w:r>
      <w:r w:rsidR="009C4AA8">
        <w:rPr>
          <w:rStyle w:val="Hyperlink"/>
          <w:rFonts w:ascii="Work Sans" w:hAnsi="Work Sans"/>
          <w:bCs/>
          <w:color w:val="auto"/>
          <w:u w:val="none"/>
        </w:rPr>
        <w:t>.</w:t>
      </w:r>
    </w:p>
    <w:p w14:paraId="46FECA52" w14:textId="4D864FBD" w:rsidR="009A3F4E" w:rsidRPr="009C4AA8" w:rsidRDefault="009A3F4E">
      <w:pPr>
        <w:rPr>
          <w:b/>
        </w:rPr>
      </w:pPr>
    </w:p>
    <w:p w14:paraId="45ED7AB9" w14:textId="737C24C7" w:rsidR="009A3F4E" w:rsidRPr="009C4AA8" w:rsidRDefault="009A3F4E" w:rsidP="009A3F4E">
      <w:pPr>
        <w:spacing w:after="0"/>
      </w:pPr>
      <w:r w:rsidRPr="009C4AA8">
        <w:rPr>
          <w:noProof/>
          <w:lang w:eastAsia="en-AU"/>
        </w:rPr>
        <w:drawing>
          <wp:anchor distT="0" distB="0" distL="114300" distR="114300" simplePos="0" relativeHeight="251662336" behindDoc="0" locked="0" layoutInCell="1" allowOverlap="1" wp14:anchorId="1A046F3C" wp14:editId="3186FCFD">
            <wp:simplePos x="0" y="0"/>
            <wp:positionH relativeFrom="column">
              <wp:posOffset>4636135</wp:posOffset>
            </wp:positionH>
            <wp:positionV relativeFrom="paragraph">
              <wp:posOffset>206375</wp:posOffset>
            </wp:positionV>
            <wp:extent cx="1676400" cy="1937385"/>
            <wp:effectExtent l="0" t="0" r="0" b="5715"/>
            <wp:wrapThrough wrapText="bothSides">
              <wp:wrapPolygon edited="0">
                <wp:start x="0" y="0"/>
                <wp:lineTo x="0" y="21451"/>
                <wp:lineTo x="21355" y="21451"/>
                <wp:lineTo x="2135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193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4AA8">
        <w:rPr>
          <w:b/>
        </w:rPr>
        <w:tab/>
      </w:r>
      <w:r w:rsidRPr="009C4AA8">
        <w:rPr>
          <w:b/>
        </w:rPr>
        <w:tab/>
        <w:t xml:space="preserve">Equipment                       </w:t>
      </w:r>
      <w:r w:rsidRPr="009C4AA8">
        <w:rPr>
          <w:b/>
        </w:rPr>
        <w:tab/>
        <w:t xml:space="preserve">Testing Shower            </w:t>
      </w:r>
      <w:r w:rsidRPr="009C4AA8">
        <w:rPr>
          <w:b/>
        </w:rPr>
        <w:tab/>
      </w:r>
      <w:r w:rsidRPr="009C4AA8">
        <w:rPr>
          <w:b/>
        </w:rPr>
        <w:tab/>
        <w:t xml:space="preserve">Testing Eyewash </w:t>
      </w:r>
    </w:p>
    <w:p w14:paraId="4289D815" w14:textId="24F238D0" w:rsidR="009A3F4E" w:rsidRPr="009C4AA8" w:rsidRDefault="009A3F4E" w:rsidP="009A3F4E">
      <w:pPr>
        <w:rPr>
          <w:b/>
          <w:u w:val="single"/>
        </w:rPr>
      </w:pPr>
      <w:r w:rsidRPr="009C4AA8">
        <w:rPr>
          <w:noProof/>
          <w:lang w:eastAsia="en-AU"/>
        </w:rPr>
        <w:drawing>
          <wp:anchor distT="0" distB="0" distL="114300" distR="114300" simplePos="0" relativeHeight="251660288" behindDoc="0" locked="0" layoutInCell="1" allowOverlap="1" wp14:anchorId="2EACC31A" wp14:editId="18F36A01">
            <wp:simplePos x="0" y="0"/>
            <wp:positionH relativeFrom="column">
              <wp:posOffset>2317115</wp:posOffset>
            </wp:positionH>
            <wp:positionV relativeFrom="paragraph">
              <wp:posOffset>18415</wp:posOffset>
            </wp:positionV>
            <wp:extent cx="1838960" cy="1943735"/>
            <wp:effectExtent l="0" t="0" r="8890" b="0"/>
            <wp:wrapThrough wrapText="bothSides">
              <wp:wrapPolygon edited="0">
                <wp:start x="0" y="0"/>
                <wp:lineTo x="0" y="21381"/>
                <wp:lineTo x="21481" y="21381"/>
                <wp:lineTo x="2148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8960" cy="194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4AA8">
        <w:rPr>
          <w:noProof/>
          <w:lang w:eastAsia="en-AU"/>
        </w:rPr>
        <w:drawing>
          <wp:anchor distT="0" distB="0" distL="114300" distR="114300" simplePos="0" relativeHeight="251661312" behindDoc="0" locked="0" layoutInCell="1" allowOverlap="1" wp14:anchorId="5DD28799" wp14:editId="780920B3">
            <wp:simplePos x="0" y="0"/>
            <wp:positionH relativeFrom="page">
              <wp:posOffset>1041400</wp:posOffset>
            </wp:positionH>
            <wp:positionV relativeFrom="paragraph">
              <wp:posOffset>10160</wp:posOffset>
            </wp:positionV>
            <wp:extent cx="1495425" cy="1950085"/>
            <wp:effectExtent l="0" t="0" r="9525" b="0"/>
            <wp:wrapThrough wrapText="bothSides">
              <wp:wrapPolygon edited="0">
                <wp:start x="0" y="0"/>
                <wp:lineTo x="0" y="21312"/>
                <wp:lineTo x="21462" y="21312"/>
                <wp:lineTo x="2146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1950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38568" w14:textId="77777777" w:rsidR="009A3F4E" w:rsidRPr="009C4AA8" w:rsidRDefault="009A3F4E" w:rsidP="009A3F4E">
      <w:pPr>
        <w:rPr>
          <w:b/>
          <w:u w:val="single"/>
        </w:rPr>
      </w:pPr>
    </w:p>
    <w:p w14:paraId="7C91B035" w14:textId="77777777" w:rsidR="009A3F4E" w:rsidRPr="009C4AA8" w:rsidRDefault="009A3F4E" w:rsidP="009A3F4E">
      <w:pPr>
        <w:rPr>
          <w:b/>
          <w:u w:val="single"/>
        </w:rPr>
      </w:pPr>
    </w:p>
    <w:p w14:paraId="7C21E1C1" w14:textId="77777777" w:rsidR="009A3F4E" w:rsidRPr="009C4AA8" w:rsidRDefault="009A3F4E" w:rsidP="009A3F4E">
      <w:pPr>
        <w:tabs>
          <w:tab w:val="left" w:pos="1701"/>
        </w:tabs>
        <w:rPr>
          <w:b/>
          <w:u w:val="single"/>
        </w:rPr>
      </w:pPr>
    </w:p>
    <w:p w14:paraId="3ADE96BC" w14:textId="77777777" w:rsidR="009A3F4E" w:rsidRPr="009C4AA8" w:rsidRDefault="009A3F4E" w:rsidP="009A3F4E">
      <w:pPr>
        <w:rPr>
          <w:b/>
          <w:u w:val="single"/>
        </w:rPr>
      </w:pPr>
    </w:p>
    <w:p w14:paraId="08497A40" w14:textId="77777777" w:rsidR="009A3F4E" w:rsidRPr="009C4AA8" w:rsidRDefault="009A3F4E" w:rsidP="009A3F4E">
      <w:pPr>
        <w:rPr>
          <w:b/>
          <w:u w:val="single"/>
        </w:rPr>
      </w:pPr>
    </w:p>
    <w:p w14:paraId="05E39576" w14:textId="77777777" w:rsidR="009A3F4E" w:rsidRPr="009C4AA8" w:rsidRDefault="009A3F4E" w:rsidP="009A3F4E">
      <w:pPr>
        <w:rPr>
          <w:b/>
          <w:u w:val="single"/>
        </w:rPr>
      </w:pPr>
    </w:p>
    <w:p w14:paraId="0F526CEE" w14:textId="77777777" w:rsidR="009C4AA8" w:rsidRDefault="009C4AA8">
      <w:pPr>
        <w:rPr>
          <w:b/>
          <w:u w:val="single"/>
        </w:rPr>
      </w:pPr>
      <w:r>
        <w:rPr>
          <w:b/>
          <w:u w:val="single"/>
        </w:rPr>
        <w:br w:type="page"/>
      </w:r>
    </w:p>
    <w:p w14:paraId="06E989CA" w14:textId="34ADEC63" w:rsidR="009A3F4E" w:rsidRPr="009C4AA8" w:rsidRDefault="009A3F4E" w:rsidP="009A3F4E">
      <w:pPr>
        <w:rPr>
          <w:b/>
          <w:u w:val="single"/>
        </w:rPr>
      </w:pPr>
      <w:r w:rsidRPr="009C4AA8">
        <w:rPr>
          <w:b/>
          <w:u w:val="single"/>
        </w:rPr>
        <w:lastRenderedPageBreak/>
        <w:t>ANNUAL TESTING – Plumbed equipment</w:t>
      </w:r>
    </w:p>
    <w:p w14:paraId="4857CD85"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This is a flow rate test and is to be completed by a competent person.</w:t>
      </w:r>
    </w:p>
    <w:p w14:paraId="6B743790"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 xml:space="preserve">The flow rate should be 210 </w:t>
      </w:r>
      <w:proofErr w:type="spellStart"/>
      <w:r w:rsidRPr="009C4AA8">
        <w:rPr>
          <w:rFonts w:ascii="Work Sans" w:hAnsi="Work Sans"/>
        </w:rPr>
        <w:t>kpa</w:t>
      </w:r>
      <w:proofErr w:type="spellEnd"/>
    </w:p>
    <w:p w14:paraId="64847DC1"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If the shower / eyewash station fails to operate, water flow is intermittent or if defective apparatus is found during the test, action is to be taken to have the problems fixed as a matter of priority. Tag the shower/eyewash station as ‘Out of Service’ and notify the relevant site person.</w:t>
      </w:r>
    </w:p>
    <w:p w14:paraId="49D94B6D"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Ensure any spills are cleaned up.</w:t>
      </w:r>
    </w:p>
    <w:p w14:paraId="302F672C"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Record your inspection/test on the annual flow test record card.</w:t>
      </w:r>
    </w:p>
    <w:p w14:paraId="2595BCE8" w14:textId="77777777" w:rsidR="009A3F4E" w:rsidRPr="009C4AA8" w:rsidRDefault="009A3F4E" w:rsidP="009A3F4E">
      <w:pPr>
        <w:spacing w:after="120"/>
        <w:ind w:left="357"/>
        <w:rPr>
          <w:b/>
        </w:rPr>
      </w:pPr>
      <w:r w:rsidRPr="009C4AA8">
        <w:rPr>
          <w:b/>
        </w:rPr>
        <w:t>Minimum testing requirements:</w:t>
      </w:r>
    </w:p>
    <w:p w14:paraId="7C7CD36A"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Showers - 75.7 litres per minute (1.3 litres/second, 6.5 litres/5 seconds, 13 litres/10 seconds, 39 litres/30 seconds).</w:t>
      </w:r>
    </w:p>
    <w:p w14:paraId="5BC7801E"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Eyewash - 1.5 litres per minute.</w:t>
      </w:r>
    </w:p>
    <w:p w14:paraId="0F8AED6C"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Eye/face wash combination - 11.4 litres per minute.</w:t>
      </w:r>
    </w:p>
    <w:p w14:paraId="5FC2F8A3" w14:textId="77777777" w:rsidR="009A3F4E" w:rsidRPr="009C4AA8" w:rsidRDefault="009A3F4E" w:rsidP="009A3F4E">
      <w:pPr>
        <w:pStyle w:val="ListParagraph"/>
        <w:numPr>
          <w:ilvl w:val="0"/>
          <w:numId w:val="3"/>
        </w:numPr>
        <w:rPr>
          <w:rFonts w:ascii="Work Sans" w:hAnsi="Work Sans"/>
        </w:rPr>
      </w:pPr>
      <w:r w:rsidRPr="009C4AA8">
        <w:rPr>
          <w:rFonts w:ascii="Work Sans" w:hAnsi="Work Sans"/>
        </w:rPr>
        <w:t>Drench hose - 11.4 litres per minute.</w:t>
      </w:r>
    </w:p>
    <w:p w14:paraId="3F092001" w14:textId="77777777" w:rsidR="00BE0CAA" w:rsidRPr="009C4AA8" w:rsidRDefault="00BE0CAA" w:rsidP="009A3F4E"/>
    <w:sectPr w:rsidR="00BE0CAA" w:rsidRPr="009C4AA8" w:rsidSect="00EB2094">
      <w:headerReference w:type="default" r:id="rId1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DA39268" w:rsidR="00197A7D" w:rsidRPr="00BE0CAA" w:rsidRDefault="009A3F4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Shower &amp; Eyewash (035G)</w:t>
                                  </w:r>
                                </w:p>
                              </w:tc>
                              <w:tc>
                                <w:tcPr>
                                  <w:tcW w:w="2410" w:type="dxa"/>
                                </w:tcPr>
                                <w:p w14:paraId="0CF33310" w14:textId="24DBBD12"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134B6C">
                                    <w:rPr>
                                      <w:rFonts w:ascii="Noto Serif Armenian Light" w:hAnsi="Noto Serif Armenian Light"/>
                                      <w:color w:val="FFFAEC" w:themeColor="accent4"/>
                                      <w:sz w:val="20"/>
                                      <w:szCs w:val="20"/>
                                    </w:rPr>
                                    <w:t>3</w:t>
                                  </w:r>
                                </w:p>
                              </w:tc>
                              <w:tc>
                                <w:tcPr>
                                  <w:tcW w:w="3907" w:type="dxa"/>
                                </w:tcPr>
                                <w:p w14:paraId="68FAB33E" w14:textId="72BC5285"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9A3F4E">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487AB81" w:rsidR="00197A7D" w:rsidRDefault="00134B6C"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October</w:t>
                                  </w:r>
                                  <w:r w:rsidR="009C4AA8">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DA39268" w:rsidR="00197A7D" w:rsidRPr="00BE0CAA" w:rsidRDefault="009A3F4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Shower &amp; Eyewash (035G)</w:t>
                            </w:r>
                          </w:p>
                        </w:tc>
                        <w:tc>
                          <w:tcPr>
                            <w:tcW w:w="2410" w:type="dxa"/>
                          </w:tcPr>
                          <w:p w14:paraId="0CF33310" w14:textId="24DBBD12"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134B6C">
                              <w:rPr>
                                <w:rFonts w:ascii="Noto Serif Armenian Light" w:hAnsi="Noto Serif Armenian Light"/>
                                <w:color w:val="FFFAEC" w:themeColor="accent4"/>
                                <w:sz w:val="20"/>
                                <w:szCs w:val="20"/>
                              </w:rPr>
                              <w:t>3</w:t>
                            </w:r>
                          </w:p>
                        </w:tc>
                        <w:tc>
                          <w:tcPr>
                            <w:tcW w:w="3907" w:type="dxa"/>
                          </w:tcPr>
                          <w:p w14:paraId="68FAB33E" w14:textId="72BC5285"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9A3F4E">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487AB81" w:rsidR="00197A7D" w:rsidRDefault="00134B6C"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October</w:t>
                            </w:r>
                            <w:r w:rsidR="009C4AA8">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A0714"/>
    <w:multiLevelType w:val="hybridMultilevel"/>
    <w:tmpl w:val="5BD6A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C22B7C"/>
    <w:multiLevelType w:val="hybridMultilevel"/>
    <w:tmpl w:val="B9A8E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AA57119"/>
    <w:multiLevelType w:val="hybridMultilevel"/>
    <w:tmpl w:val="33383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47193034">
    <w:abstractNumId w:val="0"/>
  </w:num>
  <w:num w:numId="2" w16cid:durableId="2121415787">
    <w:abstractNumId w:val="2"/>
  </w:num>
  <w:num w:numId="3" w16cid:durableId="1164471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120BFC"/>
    <w:rsid w:val="00134B6C"/>
    <w:rsid w:val="00197A7D"/>
    <w:rsid w:val="0035226C"/>
    <w:rsid w:val="00410C5D"/>
    <w:rsid w:val="004C6BF3"/>
    <w:rsid w:val="005034BA"/>
    <w:rsid w:val="0070384E"/>
    <w:rsid w:val="007C2910"/>
    <w:rsid w:val="009A3F4E"/>
    <w:rsid w:val="009C4AA8"/>
    <w:rsid w:val="00A22EBA"/>
    <w:rsid w:val="00A25F5D"/>
    <w:rsid w:val="00BE0CAA"/>
    <w:rsid w:val="00C7655D"/>
    <w:rsid w:val="00D30CBD"/>
    <w:rsid w:val="00E41C18"/>
    <w:rsid w:val="00EB2094"/>
    <w:rsid w:val="00EC2CBD"/>
    <w:rsid w:val="00EF47EE"/>
    <w:rsid w:val="00F141B7"/>
    <w:rsid w:val="00F151DB"/>
    <w:rsid w:val="00F734A5"/>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F4E"/>
    <w:pPr>
      <w:ind w:left="720"/>
      <w:contextualSpacing/>
    </w:pPr>
    <w:rPr>
      <w:rFonts w:asciiTheme="minorHAnsi" w:hAnsiTheme="minorHAnsi"/>
      <w:kern w:val="0"/>
      <w14:ligatures w14:val="none"/>
    </w:rPr>
  </w:style>
  <w:style w:type="character" w:styleId="Hyperlink">
    <w:name w:val="Hyperlink"/>
    <w:basedOn w:val="DefaultParagraphFont"/>
    <w:uiPriority w:val="99"/>
    <w:unhideWhenUsed/>
    <w:rsid w:val="009A3F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aim.org.au/document/060F" TargetMode="External"/><Relationship Id="rId13" Type="http://schemas.openxmlformats.org/officeDocument/2006/relationships/hyperlink" Target="https://www.csaim.org.au/document/060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aim.org.au/document/060F"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saim.org.au/document/060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2024-09-27T00:49:00Z</dcterms:created>
  <dcterms:modified xsi:type="dcterms:W3CDTF">2024-10-02T22:16:00Z</dcterms:modified>
</cp:coreProperties>
</file>